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440" w:type="dxa"/>
        <w:tblInd w:w="-176" w:type="dxa"/>
        <w:tblBorders>
          <w:top w:val="single" w:sz="18" w:space="0" w:color="auto"/>
          <w:bottom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5675"/>
        <w:gridCol w:w="2785"/>
      </w:tblGrid>
      <w:tr w:rsidR="00473FFE" w:rsidTr="00D52828">
        <w:tc>
          <w:tcPr>
            <w:tcW w:w="10440" w:type="dxa"/>
            <w:gridSpan w:val="3"/>
            <w:tcBorders>
              <w:top w:val="single" w:sz="24" w:space="0" w:color="auto"/>
              <w:left w:val="nil"/>
              <w:bottom w:val="single" w:sz="24" w:space="0" w:color="auto"/>
              <w:right w:val="nil"/>
            </w:tcBorders>
          </w:tcPr>
          <w:p w:rsidR="00473FFE" w:rsidRDefault="00473FFE" w:rsidP="00D52828">
            <w:pPr>
              <w:suppressAutoHyphens/>
              <w:spacing w:before="120" w:line="360" w:lineRule="auto"/>
              <w:jc w:val="center"/>
              <w:rPr>
                <w:rFonts w:ascii="Arial" w:hAnsi="Arial" w:cs="Arial"/>
                <w:b/>
                <w:lang w:eastAsia="en-US"/>
              </w:rPr>
            </w:pPr>
            <w:r>
              <w:rPr>
                <w:rFonts w:ascii="Arial" w:hAnsi="Arial" w:cs="Arial"/>
                <w:b/>
                <w:lang w:eastAsia="en-US"/>
              </w:rPr>
              <w:t>ЕВРАЗИЙСКИЙ СОВЕТ ПО СТАНДАРТИЗАЦИИ, МЕТРОЛОГИИ И СЕРТИФИКАЦИИ</w:t>
            </w:r>
          </w:p>
          <w:p w:rsidR="00473FFE" w:rsidRDefault="00473FFE" w:rsidP="00D52828">
            <w:pPr>
              <w:suppressAutoHyphens/>
              <w:spacing w:line="360" w:lineRule="auto"/>
              <w:jc w:val="center"/>
              <w:rPr>
                <w:rFonts w:ascii="Arial" w:hAnsi="Arial" w:cs="Arial"/>
                <w:b/>
                <w:lang w:val="en-US" w:eastAsia="en-US"/>
              </w:rPr>
            </w:pPr>
            <w:r>
              <w:rPr>
                <w:rFonts w:ascii="Arial" w:hAnsi="Arial" w:cs="Arial"/>
                <w:b/>
                <w:lang w:val="en-US" w:eastAsia="en-US"/>
              </w:rPr>
              <w:t>(</w:t>
            </w:r>
            <w:r>
              <w:rPr>
                <w:rFonts w:ascii="Arial" w:hAnsi="Arial" w:cs="Arial"/>
                <w:b/>
                <w:lang w:eastAsia="en-US"/>
              </w:rPr>
              <w:t>ЕАСС</w:t>
            </w:r>
            <w:r>
              <w:rPr>
                <w:rFonts w:ascii="Arial" w:hAnsi="Arial" w:cs="Arial"/>
                <w:b/>
                <w:lang w:val="en-US" w:eastAsia="en-US"/>
              </w:rPr>
              <w:t>)</w:t>
            </w:r>
          </w:p>
          <w:p w:rsidR="00473FFE" w:rsidRDefault="00473FFE" w:rsidP="00D52828">
            <w:pPr>
              <w:suppressAutoHyphens/>
              <w:spacing w:line="360" w:lineRule="auto"/>
              <w:jc w:val="center"/>
              <w:rPr>
                <w:rFonts w:ascii="Arial" w:hAnsi="Arial" w:cs="Arial"/>
                <w:b/>
                <w:lang w:val="en-US" w:eastAsia="en-US"/>
              </w:rPr>
            </w:pPr>
          </w:p>
          <w:p w:rsidR="00473FFE" w:rsidRDefault="00473FFE" w:rsidP="00D52828">
            <w:pPr>
              <w:suppressAutoHyphens/>
              <w:spacing w:line="360" w:lineRule="auto"/>
              <w:jc w:val="center"/>
              <w:rPr>
                <w:rFonts w:ascii="Arial" w:hAnsi="Arial" w:cs="Arial"/>
                <w:b/>
                <w:lang w:val="en-US" w:eastAsia="en-US"/>
              </w:rPr>
            </w:pPr>
            <w:r>
              <w:rPr>
                <w:rFonts w:ascii="Arial" w:hAnsi="Arial" w:cs="Arial"/>
                <w:b/>
                <w:lang w:val="en-US" w:eastAsia="en-US"/>
              </w:rPr>
              <w:t>EURO-ASIAN COUNCIL FOR STANDARTIZATION, METROLOGY AND CERTIFICATION</w:t>
            </w:r>
          </w:p>
          <w:p w:rsidR="00473FFE" w:rsidRDefault="00473FFE" w:rsidP="00D52828">
            <w:pPr>
              <w:suppressAutoHyphens/>
              <w:spacing w:after="120" w:line="360" w:lineRule="auto"/>
              <w:jc w:val="center"/>
              <w:rPr>
                <w:rFonts w:ascii="Arial" w:hAnsi="Arial" w:cs="Arial"/>
                <w:b/>
                <w:lang w:eastAsia="en-US"/>
              </w:rPr>
            </w:pPr>
            <w:r>
              <w:rPr>
                <w:rFonts w:ascii="Arial" w:hAnsi="Arial" w:cs="Arial"/>
                <w:b/>
                <w:lang w:val="en-US" w:eastAsia="en-US"/>
              </w:rPr>
              <w:t>(EASC</w:t>
            </w:r>
            <w:r>
              <w:rPr>
                <w:rFonts w:ascii="Arial" w:hAnsi="Arial" w:cs="Arial"/>
                <w:b/>
                <w:lang w:eastAsia="en-US"/>
              </w:rPr>
              <w:t>)</w:t>
            </w:r>
          </w:p>
        </w:tc>
      </w:tr>
      <w:tr w:rsidR="00473FFE" w:rsidTr="00D52828">
        <w:tc>
          <w:tcPr>
            <w:tcW w:w="1980" w:type="dxa"/>
            <w:tcBorders>
              <w:top w:val="single" w:sz="24" w:space="0" w:color="auto"/>
              <w:left w:val="nil"/>
              <w:bottom w:val="single" w:sz="18" w:space="0" w:color="auto"/>
              <w:right w:val="nil"/>
            </w:tcBorders>
            <w:vAlign w:val="center"/>
            <w:hideMark/>
          </w:tcPr>
          <w:p w:rsidR="00473FFE" w:rsidRDefault="00473FFE" w:rsidP="00D52828">
            <w:pPr>
              <w:suppressAutoHyphens/>
              <w:spacing w:line="360" w:lineRule="auto"/>
              <w:jc w:val="both"/>
              <w:rPr>
                <w:rFonts w:ascii="Arial" w:hAnsi="Arial" w:cs="Arial"/>
                <w:b/>
                <w:lang w:eastAsia="en-US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F5DE72" wp14:editId="0E639DA6">
                  <wp:extent cx="1127760" cy="1127760"/>
                  <wp:effectExtent l="0" t="0" r="0" b="0"/>
                  <wp:docPr id="13" name="Рисунок 13" descr="Picture in Документ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Picture in Документ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12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5" w:type="dxa"/>
            <w:tcBorders>
              <w:top w:val="single" w:sz="24" w:space="0" w:color="auto"/>
              <w:left w:val="nil"/>
              <w:bottom w:val="single" w:sz="18" w:space="0" w:color="auto"/>
              <w:right w:val="nil"/>
            </w:tcBorders>
            <w:vAlign w:val="center"/>
            <w:hideMark/>
          </w:tcPr>
          <w:p w:rsidR="00473FFE" w:rsidRDefault="00473FFE" w:rsidP="00D52828">
            <w:pPr>
              <w:suppressAutoHyphens/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  <w:lang w:eastAsia="en-US"/>
              </w:rPr>
            </w:pPr>
            <w:r>
              <w:rPr>
                <w:rFonts w:ascii="Arial" w:hAnsi="Arial" w:cs="Arial"/>
                <w:b/>
                <w:sz w:val="28"/>
                <w:szCs w:val="28"/>
                <w:lang w:eastAsia="en-US"/>
              </w:rPr>
              <w:t>М Е Ж Г О С У Д А Р С Т В Е Н Н Ы Й</w:t>
            </w:r>
          </w:p>
          <w:p w:rsidR="00473FFE" w:rsidRDefault="00473FFE" w:rsidP="00D52828">
            <w:pPr>
              <w:suppressAutoHyphens/>
              <w:spacing w:line="360" w:lineRule="auto"/>
              <w:jc w:val="center"/>
              <w:rPr>
                <w:rFonts w:ascii="Arial" w:hAnsi="Arial" w:cs="Arial"/>
                <w:b/>
                <w:lang w:eastAsia="en-US"/>
              </w:rPr>
            </w:pPr>
            <w:r>
              <w:rPr>
                <w:rFonts w:ascii="Arial" w:hAnsi="Arial" w:cs="Arial"/>
                <w:b/>
                <w:sz w:val="28"/>
                <w:szCs w:val="28"/>
                <w:lang w:eastAsia="en-US"/>
              </w:rPr>
              <w:t>С Т А Н Д А Р Т</w:t>
            </w:r>
          </w:p>
        </w:tc>
        <w:tc>
          <w:tcPr>
            <w:tcW w:w="2785" w:type="dxa"/>
            <w:tcBorders>
              <w:top w:val="single" w:sz="24" w:space="0" w:color="auto"/>
              <w:left w:val="nil"/>
              <w:bottom w:val="single" w:sz="18" w:space="0" w:color="auto"/>
              <w:right w:val="nil"/>
            </w:tcBorders>
            <w:vAlign w:val="center"/>
            <w:hideMark/>
          </w:tcPr>
          <w:p w:rsidR="00473FFE" w:rsidRDefault="00473FFE" w:rsidP="00D52828">
            <w:pPr>
              <w:suppressAutoHyphens/>
              <w:spacing w:line="360" w:lineRule="auto"/>
              <w:rPr>
                <w:rFonts w:ascii="Arial" w:hAnsi="Arial" w:cs="Arial"/>
                <w:b/>
                <w:sz w:val="32"/>
                <w:szCs w:val="32"/>
                <w:lang w:eastAsia="en-US"/>
              </w:rPr>
            </w:pPr>
            <w:r>
              <w:rPr>
                <w:rFonts w:ascii="Arial" w:hAnsi="Arial" w:cs="Arial"/>
                <w:b/>
                <w:sz w:val="32"/>
                <w:szCs w:val="32"/>
                <w:lang w:eastAsia="en-US"/>
              </w:rPr>
              <w:t>ГОСТ</w:t>
            </w:r>
          </w:p>
          <w:p w:rsidR="00473FFE" w:rsidRDefault="00473FFE" w:rsidP="00D52828">
            <w:pPr>
              <w:suppressAutoHyphens/>
              <w:spacing w:line="360" w:lineRule="auto"/>
              <w:rPr>
                <w:rFonts w:ascii="Arial" w:hAnsi="Arial" w:cs="Arial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  <w:lang w:eastAsia="en-US"/>
              </w:rPr>
              <w:t xml:space="preserve">(проект, </w:t>
            </w:r>
            <w:r>
              <w:rPr>
                <w:rFonts w:ascii="Arial" w:hAnsi="Arial" w:cs="Arial"/>
                <w:b/>
                <w:bCs/>
                <w:sz w:val="28"/>
                <w:szCs w:val="28"/>
                <w:lang w:val="en-US" w:eastAsia="en-US"/>
              </w:rPr>
              <w:t>RU</w:t>
            </w:r>
            <w:r>
              <w:rPr>
                <w:rFonts w:ascii="Arial" w:hAnsi="Arial" w:cs="Arial"/>
                <w:b/>
                <w:bCs/>
                <w:sz w:val="28"/>
                <w:szCs w:val="28"/>
                <w:lang w:eastAsia="en-US"/>
              </w:rPr>
              <w:t>, окончательная редакция)</w:t>
            </w:r>
          </w:p>
        </w:tc>
      </w:tr>
    </w:tbl>
    <w:p w:rsidR="00473FFE" w:rsidRDefault="00473FFE" w:rsidP="00473FFE"/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snapToGrid w:val="0"/>
          <w:sz w:val="32"/>
          <w:szCs w:val="32"/>
        </w:rPr>
      </w:pPr>
      <w:r>
        <w:rPr>
          <w:rFonts w:ascii="Arial" w:hAnsi="Arial" w:cs="Arial"/>
          <w:b/>
          <w:snapToGrid w:val="0"/>
          <w:sz w:val="32"/>
          <w:szCs w:val="32"/>
        </w:rPr>
        <w:t>КРУПНЫЙ РОГАТЫЙ СКОТ ДЛЯ УБОЯ</w:t>
      </w: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snapToGrid w:val="0"/>
          <w:sz w:val="32"/>
          <w:szCs w:val="32"/>
        </w:rPr>
      </w:pPr>
      <w:r>
        <w:rPr>
          <w:rFonts w:ascii="Arial" w:hAnsi="Arial" w:cs="Arial"/>
          <w:b/>
          <w:snapToGrid w:val="0"/>
          <w:sz w:val="32"/>
          <w:szCs w:val="32"/>
        </w:rPr>
        <w:t xml:space="preserve">ГОВЯДИНА И ТЕЛЯТИНА В ТУШАХ, </w:t>
      </w:r>
      <w:r>
        <w:rPr>
          <w:rFonts w:ascii="Arial" w:hAnsi="Arial" w:cs="Arial"/>
          <w:b/>
          <w:snapToGrid w:val="0"/>
          <w:sz w:val="32"/>
          <w:szCs w:val="32"/>
        </w:rPr>
        <w:br/>
        <w:t>ПОЛУТУШАХ И ЧЕТВЕРТИНАХ</w:t>
      </w: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Технические условия</w:t>
      </w: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/>
          <w:b/>
          <w:snapToGrid w:val="0"/>
        </w:rPr>
      </w:pPr>
      <w:r>
        <w:rPr>
          <w:rFonts w:ascii="Arial" w:hAnsi="Arial"/>
          <w:b/>
          <w:snapToGrid w:val="0"/>
        </w:rPr>
        <w:t>Настоящий проект стандарта не подлежит применению до его принятия</w:t>
      </w:r>
    </w:p>
    <w:p w:rsidR="00473FFE" w:rsidRDefault="00473FFE" w:rsidP="00473FFE">
      <w:pPr>
        <w:suppressAutoHyphens/>
        <w:spacing w:line="360" w:lineRule="auto"/>
        <w:ind w:left="709" w:hanging="709"/>
        <w:jc w:val="center"/>
        <w:rPr>
          <w:rFonts w:ascii="Arial" w:hAnsi="Arial" w:cs="Arial"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Минск</w:t>
      </w: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sz w:val="28"/>
          <w:szCs w:val="28"/>
        </w:rPr>
        <w:t>Евразийский совет по стандартизации, метрологии и сертификации</w:t>
      </w:r>
    </w:p>
    <w:p w:rsidR="00473FFE" w:rsidRDefault="00473FFE" w:rsidP="00473FFE">
      <w:pPr>
        <w:suppressAutoHyphens/>
        <w:spacing w:line="360" w:lineRule="auto"/>
        <w:jc w:val="center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 xml:space="preserve">201   </w:t>
      </w:r>
    </w:p>
    <w:p w:rsidR="00473FFE" w:rsidRDefault="00473FFE" w:rsidP="00473FFE">
      <w:pPr>
        <w:spacing w:line="360" w:lineRule="auto"/>
        <w:rPr>
          <w:rFonts w:ascii="Arial" w:hAnsi="Arial" w:cs="Arial"/>
        </w:rPr>
        <w:sectPr w:rsidR="00473FFE" w:rsidSect="00D52828">
          <w:headerReference w:type="even" r:id="rId8"/>
          <w:headerReference w:type="default" r:id="rId9"/>
          <w:footnotePr>
            <w:numFmt w:val="chicago"/>
            <w:numRestart w:val="eachPage"/>
          </w:footnotePr>
          <w:pgSz w:w="11906" w:h="16838"/>
          <w:pgMar w:top="1134" w:right="567" w:bottom="1134" w:left="1134" w:header="720" w:footer="737" w:gutter="0"/>
          <w:pgNumType w:fmt="upperRoman" w:start="1"/>
          <w:cols w:space="720"/>
          <w:titlePg/>
          <w:docGrid w:linePitch="326"/>
        </w:sectPr>
      </w:pP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spacing w:val="-1"/>
        </w:rPr>
      </w:pPr>
      <w:r>
        <w:rPr>
          <w:rFonts w:ascii="Arial" w:hAnsi="Arial" w:cs="Arial"/>
          <w:spacing w:val="-1"/>
        </w:rPr>
        <w:lastRenderedPageBreak/>
        <w:t>Евразийский совет по стандартизации, метрологии и сертификации (ЕАСС) представляет собой региональное объединение национальных органов по стандартизации государств, входящих в Содружество Независимых Государств. В дальнейшем возможно вступление в ЕАСС национальных органов по стандартизации других государств.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spacing w:val="-1"/>
        </w:rPr>
      </w:pPr>
      <w:r>
        <w:rPr>
          <w:rFonts w:ascii="Arial" w:hAnsi="Arial" w:cs="Arial"/>
          <w:spacing w:val="-1"/>
        </w:rPr>
        <w:t>Цели, основные принципы и основной порядок проведения работ по межгосударственной стандартизации установлены в ГОСТ 1.0</w:t>
      </w:r>
      <w:r>
        <w:rPr>
          <w:rFonts w:ascii="Arial" w:hAnsi="Arial" w:cs="Arial"/>
          <w:spacing w:val="-1"/>
        </w:rPr>
        <w:noBreakHyphen/>
        <w:t xml:space="preserve">2015 «Межгосударственная система стандартизации. Основные положения» и </w:t>
      </w:r>
      <w:r>
        <w:rPr>
          <w:rFonts w:ascii="Arial" w:hAnsi="Arial" w:cs="Arial"/>
          <w:spacing w:val="-1"/>
        </w:rPr>
        <w:br/>
        <w:t>ГОСТ 1.2</w:t>
      </w:r>
      <w:r>
        <w:rPr>
          <w:rFonts w:ascii="Arial" w:hAnsi="Arial" w:cs="Arial"/>
          <w:spacing w:val="-1"/>
        </w:rPr>
        <w:noBreakHyphen/>
        <w:t>2015 «Межгосударственная система стандартизации. Стандарты межгосударственные, правила и рекомендации по межгосударственной стандартизации. Правила разработки, принятия, обновления и отмены».</w:t>
      </w:r>
    </w:p>
    <w:p w:rsidR="00473FFE" w:rsidRDefault="00473FFE" w:rsidP="00473FFE">
      <w:pPr>
        <w:shd w:val="clear" w:color="auto" w:fill="FFFFFF"/>
        <w:suppressAutoHyphens/>
        <w:spacing w:before="240" w:line="360" w:lineRule="auto"/>
        <w:ind w:firstLine="709"/>
        <w:jc w:val="both"/>
        <w:rPr>
          <w:rFonts w:ascii="Arial" w:hAnsi="Arial" w:cs="Arial"/>
          <w:b/>
          <w:spacing w:val="-1"/>
          <w:sz w:val="28"/>
        </w:rPr>
      </w:pPr>
      <w:r>
        <w:rPr>
          <w:rFonts w:ascii="Arial" w:hAnsi="Arial" w:cs="Arial"/>
          <w:b/>
          <w:spacing w:val="-1"/>
          <w:sz w:val="28"/>
        </w:rPr>
        <w:t>Сведения о стандарте</w:t>
      </w:r>
    </w:p>
    <w:p w:rsidR="00473FFE" w:rsidRDefault="00473FFE" w:rsidP="00473FFE">
      <w:pPr>
        <w:shd w:val="clear" w:color="auto" w:fill="FFFFFF"/>
        <w:tabs>
          <w:tab w:val="left" w:pos="605"/>
        </w:tabs>
        <w:suppressAutoHyphens/>
        <w:spacing w:line="360" w:lineRule="auto"/>
        <w:ind w:firstLine="709"/>
        <w:jc w:val="both"/>
        <w:rPr>
          <w:rFonts w:ascii="Arial" w:hAnsi="Arial" w:cs="Arial"/>
          <w:spacing w:val="-1"/>
        </w:rPr>
      </w:pPr>
      <w:r>
        <w:rPr>
          <w:rFonts w:ascii="Arial" w:hAnsi="Arial" w:cs="Arial"/>
          <w:spacing w:val="-1"/>
        </w:rPr>
        <w:t>1 РАЗРАБОТАН Федеральным государственным бюджетным научным учреждением «Всероссийский научно-исследовательский институт мясной промышленности имени В.М.</w:t>
      </w:r>
      <w:r>
        <w:rPr>
          <w:rFonts w:ascii="Arial" w:hAnsi="Arial"/>
        </w:rPr>
        <w:t> </w:t>
      </w:r>
      <w:r>
        <w:rPr>
          <w:rFonts w:ascii="Arial" w:hAnsi="Arial" w:cs="Arial"/>
          <w:spacing w:val="-1"/>
        </w:rPr>
        <w:t>Горбатова» (ФГБНУ «ВНИИМП им. В.М. Горбатова»)</w:t>
      </w:r>
    </w:p>
    <w:p w:rsidR="00473FFE" w:rsidRDefault="00473FFE" w:rsidP="00473FFE">
      <w:pPr>
        <w:suppressAutoHyphens/>
        <w:spacing w:line="360" w:lineRule="auto"/>
        <w:ind w:firstLine="709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2 ВНЕСЕН Федеральным агентством по техническому регулированию и метрологии Российской Федерации</w:t>
      </w:r>
    </w:p>
    <w:p w:rsidR="00473FFE" w:rsidRDefault="00473FFE" w:rsidP="00473FFE">
      <w:pPr>
        <w:suppressAutoHyphens/>
        <w:spacing w:before="10" w:line="360" w:lineRule="auto"/>
        <w:ind w:firstLine="709"/>
        <w:jc w:val="both"/>
        <w:rPr>
          <w:rFonts w:ascii="Arial" w:eastAsia="Arial" w:hAnsi="Arial" w:cs="Arial"/>
        </w:rPr>
      </w:pPr>
      <w:r>
        <w:rPr>
          <w:rFonts w:ascii="Arial" w:hAnsi="Arial" w:cs="Arial"/>
        </w:rPr>
        <w:t>3 ПРИНЯТ Евразийским советом по стандартизации, метрологии и сертификации (протокол №____ от _________________)</w:t>
      </w:r>
    </w:p>
    <w:p w:rsidR="00473FFE" w:rsidRPr="00024F03" w:rsidRDefault="00473FFE" w:rsidP="00473FFE">
      <w:pPr>
        <w:spacing w:line="360" w:lineRule="auto"/>
        <w:ind w:firstLine="709"/>
        <w:rPr>
          <w:rFonts w:ascii="Arial" w:hAnsi="Arial" w:cs="Arial"/>
        </w:rPr>
      </w:pPr>
      <w:r w:rsidRPr="00024F03">
        <w:rPr>
          <w:rFonts w:ascii="Arial" w:hAnsi="Arial" w:cs="Arial"/>
        </w:rPr>
        <w:t>За принятие проголосовали:</w:t>
      </w:r>
    </w:p>
    <w:tbl>
      <w:tblPr>
        <w:tblW w:w="9895" w:type="dxa"/>
        <w:tblInd w:w="13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50"/>
        <w:gridCol w:w="2409"/>
        <w:gridCol w:w="4536"/>
      </w:tblGrid>
      <w:tr w:rsidR="00473FFE" w:rsidTr="00D52828">
        <w:trPr>
          <w:trHeight w:val="1040"/>
        </w:trPr>
        <w:tc>
          <w:tcPr>
            <w:tcW w:w="295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Краткое наименование страны по МК</w:t>
            </w:r>
          </w:p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(ИСО 3166) 004–97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Код страны по МК (ИСО 3166) 004–97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left="33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Сокращенное наименование</w:t>
            </w:r>
          </w:p>
          <w:p w:rsidR="00473FFE" w:rsidRDefault="00473FFE" w:rsidP="00D52828">
            <w:pPr>
              <w:suppressAutoHyphens/>
              <w:spacing w:line="276" w:lineRule="auto"/>
              <w:ind w:left="33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национального органа</w:t>
            </w:r>
          </w:p>
          <w:p w:rsidR="00473FFE" w:rsidRDefault="00473FFE" w:rsidP="00D52828">
            <w:pPr>
              <w:suppressAutoHyphens/>
              <w:spacing w:line="276" w:lineRule="auto"/>
              <w:ind w:left="33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по стандартизации</w:t>
            </w:r>
          </w:p>
        </w:tc>
      </w:tr>
      <w:tr w:rsidR="00473FFE" w:rsidTr="00D52828">
        <w:trPr>
          <w:trHeight w:val="179"/>
        </w:trPr>
        <w:tc>
          <w:tcPr>
            <w:tcW w:w="2950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Азербайджан</w:t>
            </w:r>
          </w:p>
        </w:tc>
        <w:tc>
          <w:tcPr>
            <w:tcW w:w="2409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AZ</w:t>
            </w:r>
          </w:p>
        </w:tc>
        <w:tc>
          <w:tcPr>
            <w:tcW w:w="4536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Азгосстандарт</w:t>
            </w:r>
          </w:p>
        </w:tc>
      </w:tr>
      <w:tr w:rsidR="00473FFE" w:rsidTr="00D52828">
        <w:trPr>
          <w:trHeight w:val="144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Армения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AM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Минэкономики Республики Армения</w:t>
            </w:r>
          </w:p>
        </w:tc>
      </w:tr>
      <w:tr w:rsidR="00473FFE" w:rsidTr="00D52828">
        <w:trPr>
          <w:trHeight w:val="264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Беларусь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BY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Госстандарт Республики Беларусь</w:t>
            </w:r>
          </w:p>
        </w:tc>
      </w:tr>
      <w:tr w:rsidR="00473FFE" w:rsidTr="00D52828">
        <w:trPr>
          <w:cantSplit/>
          <w:trHeight w:val="297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Грузия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GE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Грузстандарт</w:t>
            </w:r>
          </w:p>
        </w:tc>
      </w:tr>
      <w:tr w:rsidR="00473FFE" w:rsidTr="00D52828">
        <w:trPr>
          <w:cantSplit/>
          <w:trHeight w:val="285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Казахстан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KZ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Госстандарт Республики Казахстан</w:t>
            </w:r>
          </w:p>
        </w:tc>
      </w:tr>
      <w:tr w:rsidR="00473FFE" w:rsidTr="00D52828">
        <w:trPr>
          <w:cantSplit/>
          <w:trHeight w:val="188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Кыргызстан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KG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Кыргызстандарт</w:t>
            </w:r>
          </w:p>
        </w:tc>
      </w:tr>
      <w:tr w:rsidR="00473FFE" w:rsidTr="00D52828">
        <w:trPr>
          <w:cantSplit/>
          <w:trHeight w:val="191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Молдова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MD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Молдова-Стандарт</w:t>
            </w:r>
          </w:p>
        </w:tc>
      </w:tr>
      <w:tr w:rsidR="00473FFE" w:rsidTr="00D52828">
        <w:trPr>
          <w:trHeight w:val="196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Российская Федерация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RU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Росстандарт</w:t>
            </w:r>
          </w:p>
        </w:tc>
      </w:tr>
      <w:tr w:rsidR="00473FFE" w:rsidTr="00D52828">
        <w:trPr>
          <w:trHeight w:val="199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Таджикистан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TJ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Таджикстандарт</w:t>
            </w:r>
          </w:p>
        </w:tc>
      </w:tr>
      <w:tr w:rsidR="00473FFE" w:rsidTr="00D52828">
        <w:trPr>
          <w:trHeight w:val="218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Туркмения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TM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Главгосслужба Туркменстандартлары</w:t>
            </w:r>
          </w:p>
        </w:tc>
      </w:tr>
      <w:tr w:rsidR="00473FFE" w:rsidTr="00D52828">
        <w:trPr>
          <w:trHeight w:val="106"/>
        </w:trPr>
        <w:tc>
          <w:tcPr>
            <w:tcW w:w="29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Узбекистан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UZ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Узстандарт</w:t>
            </w:r>
          </w:p>
        </w:tc>
      </w:tr>
      <w:tr w:rsidR="00473FFE" w:rsidTr="00D52828">
        <w:trPr>
          <w:trHeight w:val="106"/>
        </w:trPr>
        <w:tc>
          <w:tcPr>
            <w:tcW w:w="29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Украина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7"/>
              <w:jc w:val="center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UA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suppressAutoHyphens/>
              <w:spacing w:line="276" w:lineRule="auto"/>
              <w:ind w:firstLine="33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Госпотребстандарт Украины</w:t>
            </w:r>
          </w:p>
        </w:tc>
      </w:tr>
    </w:tbl>
    <w:p w:rsidR="00473FFE" w:rsidRDefault="00473FFE" w:rsidP="00473FFE">
      <w:pPr>
        <w:shd w:val="clear" w:color="auto" w:fill="FFFFFF"/>
        <w:tabs>
          <w:tab w:val="left" w:pos="605"/>
        </w:tabs>
        <w:suppressAutoHyphens/>
        <w:spacing w:line="36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4 ВВЕДЕН </w:t>
      </w:r>
      <w:bookmarkStart w:id="0" w:name="ТекстовоеПоле19"/>
      <w:r>
        <w:rPr>
          <w:rFonts w:ascii="Arial" w:hAnsi="Arial" w:cs="Arial"/>
        </w:rPr>
        <w:t>ВПЕРВЫЕ</w:t>
      </w:r>
      <w:bookmarkEnd w:id="0"/>
      <w:r>
        <w:rPr>
          <w:rFonts w:ascii="Arial" w:hAnsi="Arial" w:cs="Arial"/>
        </w:rPr>
        <w:br w:type="page"/>
      </w:r>
    </w:p>
    <w:p w:rsidR="00473FFE" w:rsidRDefault="00473FFE" w:rsidP="00473FFE">
      <w:pPr>
        <w:suppressAutoHyphens/>
        <w:spacing w:line="360" w:lineRule="auto"/>
        <w:ind w:firstLine="709"/>
        <w:jc w:val="both"/>
        <w:rPr>
          <w:rFonts w:ascii="Arial" w:hAnsi="Arial"/>
          <w:i/>
        </w:rPr>
      </w:pPr>
      <w:r>
        <w:rPr>
          <w:rFonts w:ascii="Arial" w:hAnsi="Arial"/>
          <w:i/>
        </w:rPr>
        <w:lastRenderedPageBreak/>
        <w:t>Информация о введении в действие (прекращении действия) настоящего стандарта и изменений к нему на территории указанных выше государств публикуется в указателях национальных (государственных) стандартов, издаваемых в этих государствах.</w:t>
      </w:r>
    </w:p>
    <w:p w:rsidR="00473FFE" w:rsidRDefault="00473FFE" w:rsidP="00473FFE">
      <w:pPr>
        <w:suppressAutoHyphens/>
        <w:spacing w:line="360" w:lineRule="auto"/>
        <w:ind w:firstLine="709"/>
        <w:jc w:val="both"/>
        <w:rPr>
          <w:rFonts w:ascii="Arial" w:hAnsi="Arial"/>
          <w:i/>
        </w:rPr>
      </w:pPr>
      <w:r>
        <w:rPr>
          <w:rFonts w:ascii="Arial" w:hAnsi="Arial"/>
          <w:i/>
        </w:rPr>
        <w:t xml:space="preserve">Информация об изменениях к настоящему стандарту публикуется в указателе (каталоге) «Межгосударственные стандарты», а текст этих </w:t>
      </w:r>
      <w:r>
        <w:rPr>
          <w:rFonts w:ascii="Arial" w:hAnsi="Arial"/>
          <w:i/>
        </w:rPr>
        <w:br/>
        <w:t xml:space="preserve">изменений — в информационных указателях «Межгосударственные стандарты». </w:t>
      </w:r>
      <w:r>
        <w:rPr>
          <w:rFonts w:ascii="Arial" w:hAnsi="Arial"/>
          <w:i/>
        </w:rPr>
        <w:br/>
        <w:t>В случае пересмотра или отмены настоящего стандарта соответствующая информация будет опубликована в информационном указателе «Межгосударственные стандарты»</w:t>
      </w: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pacing w:line="360" w:lineRule="auto"/>
        <w:jc w:val="both"/>
        <w:rPr>
          <w:rFonts w:ascii="Arial" w:hAnsi="Arial"/>
          <w:lang w:eastAsia="ar-SA"/>
        </w:rPr>
      </w:pPr>
    </w:p>
    <w:p w:rsidR="00473FFE" w:rsidRDefault="00473FFE" w:rsidP="00473FFE">
      <w:pPr>
        <w:suppressAutoHyphens/>
        <w:spacing w:line="360" w:lineRule="auto"/>
        <w:ind w:firstLine="709"/>
        <w:jc w:val="both"/>
        <w:rPr>
          <w:rFonts w:ascii="Arial" w:hAnsi="Arial"/>
        </w:rPr>
      </w:pPr>
      <w:r>
        <w:rPr>
          <w:rFonts w:ascii="Arial" w:hAnsi="Arial"/>
        </w:rPr>
        <w:t xml:space="preserve">Исключительное право официального опубликования настоящего стандарта </w:t>
      </w:r>
      <w:r>
        <w:rPr>
          <w:rFonts w:ascii="Arial" w:hAnsi="Arial"/>
        </w:rPr>
        <w:br/>
        <w:t xml:space="preserve">на территории указанных выше государств принадлежит национальным органам </w:t>
      </w:r>
      <w:r>
        <w:rPr>
          <w:rFonts w:ascii="Arial" w:hAnsi="Arial"/>
        </w:rPr>
        <w:br/>
        <w:t>по стандартизации этих государств</w:t>
      </w:r>
      <w:r>
        <w:rPr>
          <w:rFonts w:ascii="Arial" w:hAnsi="Arial"/>
        </w:rPr>
        <w:br w:type="page"/>
      </w:r>
    </w:p>
    <w:p w:rsidR="00473FFE" w:rsidRDefault="00473FFE" w:rsidP="00473FFE">
      <w:pPr>
        <w:pStyle w:val="ab"/>
      </w:pPr>
      <w:bookmarkStart w:id="1" w:name="_Toc410744759"/>
      <w:bookmarkStart w:id="2" w:name="_Toc410741548"/>
    </w:p>
    <w:p w:rsidR="00473FFE" w:rsidRDefault="00473FFE" w:rsidP="00473FFE">
      <w:pPr>
        <w:keepNext/>
        <w:suppressAutoHyphens/>
        <w:spacing w:before="64" w:line="360" w:lineRule="auto"/>
        <w:jc w:val="center"/>
        <w:outlineLvl w:val="0"/>
        <w:rPr>
          <w:rFonts w:ascii="Arial" w:hAnsi="Arial" w:cs="Arial"/>
          <w:b/>
          <w:sz w:val="28"/>
          <w:szCs w:val="20"/>
          <w:lang w:val="x-none" w:eastAsia="x-none"/>
        </w:rPr>
      </w:pPr>
      <w:r>
        <w:rPr>
          <w:rFonts w:ascii="Arial" w:hAnsi="Arial" w:cs="Arial"/>
          <w:b/>
          <w:sz w:val="28"/>
          <w:szCs w:val="20"/>
          <w:lang w:val="x-none" w:eastAsia="x-none"/>
        </w:rPr>
        <w:t>Содержание</w:t>
      </w:r>
      <w:bookmarkEnd w:id="1"/>
      <w:bookmarkEnd w:id="2"/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1 Область применения</w:t>
      </w:r>
      <w:r>
        <w:rPr>
          <w:rFonts w:ascii="Arial" w:hAnsi="Arial"/>
          <w:bCs/>
        </w:rPr>
        <w:tab/>
        <w:t>1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2 Нормативные ссылки</w:t>
      </w:r>
      <w:r>
        <w:rPr>
          <w:rFonts w:ascii="Arial" w:hAnsi="Arial"/>
          <w:bCs/>
        </w:rPr>
        <w:tab/>
        <w:t>1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3 Термины и определения</w:t>
      </w:r>
      <w:r>
        <w:rPr>
          <w:rFonts w:ascii="Arial" w:hAnsi="Arial"/>
          <w:bCs/>
        </w:rPr>
        <w:tab/>
        <w:t>3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4 Классификация</w:t>
      </w:r>
      <w:r>
        <w:rPr>
          <w:rFonts w:ascii="Arial" w:hAnsi="Arial"/>
          <w:bCs/>
        </w:rPr>
        <w:tab/>
        <w:t>4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5 Технические требования</w:t>
      </w:r>
      <w:r>
        <w:rPr>
          <w:rFonts w:ascii="Arial" w:hAnsi="Arial"/>
          <w:bCs/>
        </w:rPr>
        <w:tab/>
        <w:t>5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6 Маркировка</w:t>
      </w:r>
      <w:r>
        <w:rPr>
          <w:rFonts w:ascii="Arial" w:hAnsi="Arial"/>
          <w:bCs/>
        </w:rPr>
        <w:tab/>
        <w:t>18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7 Упаковка</w:t>
      </w:r>
      <w:r>
        <w:rPr>
          <w:rFonts w:ascii="Arial" w:hAnsi="Arial"/>
          <w:bCs/>
        </w:rPr>
        <w:tab/>
        <w:t>19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8 Правила приемки</w:t>
      </w:r>
      <w:r>
        <w:rPr>
          <w:rFonts w:ascii="Arial" w:hAnsi="Arial"/>
          <w:bCs/>
        </w:rPr>
        <w:tab/>
        <w:t>19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9 Методы контроля</w:t>
      </w:r>
      <w:r>
        <w:rPr>
          <w:rFonts w:ascii="Arial" w:hAnsi="Arial"/>
          <w:bCs/>
        </w:rPr>
        <w:tab/>
        <w:t>21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10 Транспортирование и хранение</w:t>
      </w:r>
      <w:r>
        <w:rPr>
          <w:rFonts w:ascii="Arial" w:hAnsi="Arial"/>
          <w:bCs/>
        </w:rPr>
        <w:tab/>
        <w:t>24</w:t>
      </w:r>
    </w:p>
    <w:p w:rsidR="00473FFE" w:rsidRDefault="00473FFE" w:rsidP="00473FFE">
      <w:pPr>
        <w:tabs>
          <w:tab w:val="right" w:leader="dot" w:pos="9923"/>
        </w:tabs>
        <w:suppressAutoHyphens/>
        <w:spacing w:after="100" w:line="360" w:lineRule="auto"/>
        <w:jc w:val="both"/>
        <w:rPr>
          <w:rFonts w:ascii="Arial" w:hAnsi="Arial"/>
          <w:bCs/>
        </w:rPr>
      </w:pPr>
      <w:r>
        <w:rPr>
          <w:rFonts w:ascii="Arial" w:hAnsi="Arial"/>
        </w:rPr>
        <w:t>Библиография</w:t>
      </w:r>
      <w:r>
        <w:rPr>
          <w:rFonts w:ascii="Arial" w:hAnsi="Arial"/>
          <w:bCs/>
        </w:rPr>
        <w:tab/>
        <w:t>26</w:t>
      </w:r>
    </w:p>
    <w:p w:rsidR="00473FFE" w:rsidRDefault="00473FFE" w:rsidP="00473FFE">
      <w:pPr>
        <w:widowControl w:val="0"/>
        <w:spacing w:line="360" w:lineRule="auto"/>
        <w:jc w:val="both"/>
        <w:rPr>
          <w:sz w:val="28"/>
          <w:szCs w:val="28"/>
        </w:rPr>
      </w:pPr>
    </w:p>
    <w:p w:rsidR="00473FFE" w:rsidRDefault="00473FFE" w:rsidP="00473FFE">
      <w:pPr>
        <w:spacing w:line="360" w:lineRule="auto"/>
        <w:rPr>
          <w:sz w:val="28"/>
          <w:szCs w:val="28"/>
        </w:rPr>
        <w:sectPr w:rsidR="00473FFE" w:rsidSect="00D52828">
          <w:headerReference w:type="even" r:id="rId10"/>
          <w:headerReference w:type="default" r:id="rId11"/>
          <w:footerReference w:type="even" r:id="rId12"/>
          <w:footerReference w:type="default" r:id="rId13"/>
          <w:pgSz w:w="11907" w:h="16840"/>
          <w:pgMar w:top="1134" w:right="851" w:bottom="1134" w:left="1134" w:header="709" w:footer="567" w:gutter="0"/>
          <w:pgNumType w:fmt="upperRoman"/>
          <w:cols w:space="720"/>
          <w:docGrid w:linePitch="326"/>
        </w:sectPr>
      </w:pPr>
    </w:p>
    <w:p w:rsidR="00473FFE" w:rsidRDefault="00473FFE" w:rsidP="00473FFE">
      <w:pPr>
        <w:pBdr>
          <w:bottom w:val="single" w:sz="12" w:space="1" w:color="auto"/>
        </w:pBdr>
        <w:tabs>
          <w:tab w:val="left" w:pos="4605"/>
        </w:tabs>
        <w:suppressAutoHyphens/>
        <w:spacing w:before="69"/>
        <w:ind w:right="-2"/>
        <w:jc w:val="center"/>
        <w:rPr>
          <w:rFonts w:ascii="Arial" w:hAnsi="Arial" w:cs="Arial"/>
          <w:b/>
          <w:spacing w:val="140"/>
          <w:sz w:val="28"/>
          <w:szCs w:val="32"/>
        </w:rPr>
      </w:pPr>
      <w:r>
        <w:rPr>
          <w:rFonts w:ascii="Arial" w:hAnsi="Arial" w:cs="Arial"/>
          <w:b/>
          <w:spacing w:val="140"/>
          <w:sz w:val="28"/>
          <w:szCs w:val="32"/>
        </w:rPr>
        <w:lastRenderedPageBreak/>
        <w:t>МЕЖГОСУДАРСТВЕННЫЙ</w:t>
      </w:r>
      <w:r>
        <w:rPr>
          <w:rFonts w:ascii="Arial" w:hAnsi="Arial" w:cs="Arial"/>
          <w:b/>
          <w:spacing w:val="140"/>
          <w:sz w:val="28"/>
          <w:szCs w:val="32"/>
        </w:rPr>
        <w:tab/>
        <w:t>СТАНДАРТ</w:t>
      </w:r>
    </w:p>
    <w:p w:rsidR="00473FFE" w:rsidRDefault="00473FFE" w:rsidP="00473FFE">
      <w:pPr>
        <w:suppressAutoHyphens/>
        <w:spacing w:before="9" w:line="170" w:lineRule="exact"/>
        <w:ind w:left="567"/>
        <w:jc w:val="both"/>
        <w:rPr>
          <w:rFonts w:ascii="Arial" w:hAnsi="Arial" w:cs="Arial"/>
          <w:sz w:val="32"/>
          <w:szCs w:val="32"/>
        </w:rPr>
      </w:pPr>
    </w:p>
    <w:p w:rsidR="00473FFE" w:rsidRDefault="00473FFE" w:rsidP="00473FFE">
      <w:pPr>
        <w:suppressAutoHyphens/>
        <w:jc w:val="center"/>
        <w:rPr>
          <w:rFonts w:ascii="Arial" w:hAnsi="Arial" w:cs="Arial"/>
          <w:b/>
          <w:caps/>
          <w:sz w:val="28"/>
          <w:szCs w:val="28"/>
        </w:rPr>
      </w:pPr>
      <w:r>
        <w:rPr>
          <w:rFonts w:ascii="Arial" w:hAnsi="Arial" w:cs="Arial"/>
          <w:b/>
          <w:caps/>
          <w:sz w:val="28"/>
          <w:szCs w:val="28"/>
        </w:rPr>
        <w:t xml:space="preserve">КРУПНЫЙ РОГАТЫЙ СКОТ ДЛЯ УБОЯ. ГОВЯДИНА И ТЕЛЯТИНА </w:t>
      </w:r>
      <w:r>
        <w:rPr>
          <w:rFonts w:ascii="Arial" w:hAnsi="Arial" w:cs="Arial"/>
          <w:b/>
          <w:caps/>
          <w:sz w:val="28"/>
          <w:szCs w:val="28"/>
        </w:rPr>
        <w:br/>
        <w:t>В ТУШАХ, ПОЛУТУШАХ И ЧЕТВЕРТИНАХ</w:t>
      </w:r>
    </w:p>
    <w:p w:rsidR="00473FFE" w:rsidRDefault="00473FFE" w:rsidP="00473FFE">
      <w:pPr>
        <w:suppressAutoHyphens/>
        <w:spacing w:after="240"/>
        <w:jc w:val="center"/>
        <w:rPr>
          <w:rFonts w:ascii="Arial" w:hAnsi="Arial" w:cs="Arial"/>
          <w:sz w:val="28"/>
          <w:szCs w:val="28"/>
          <w:lang w:val="en-US"/>
        </w:rPr>
      </w:pPr>
      <w:r>
        <w:rPr>
          <w:rFonts w:ascii="Arial" w:hAnsi="Arial" w:cs="Arial"/>
          <w:b/>
          <w:sz w:val="28"/>
          <w:szCs w:val="28"/>
        </w:rPr>
        <w:t>Технические</w:t>
      </w:r>
      <w:r>
        <w:rPr>
          <w:rFonts w:ascii="Arial" w:hAnsi="Arial" w:cs="Arial"/>
          <w:b/>
          <w:sz w:val="28"/>
          <w:szCs w:val="28"/>
          <w:lang w:val="en-US"/>
        </w:rPr>
        <w:t xml:space="preserve"> </w:t>
      </w:r>
      <w:r>
        <w:rPr>
          <w:rFonts w:ascii="Arial" w:hAnsi="Arial" w:cs="Arial"/>
          <w:b/>
          <w:sz w:val="28"/>
          <w:szCs w:val="28"/>
        </w:rPr>
        <w:t>условия</w:t>
      </w:r>
    </w:p>
    <w:p w:rsidR="00473FFE" w:rsidRDefault="00473FFE" w:rsidP="00473FFE">
      <w:pPr>
        <w:suppressAutoHyphens/>
        <w:jc w:val="center"/>
        <w:rPr>
          <w:rFonts w:ascii="Arial" w:hAnsi="Arial"/>
          <w:sz w:val="28"/>
          <w:lang w:val="en-US"/>
        </w:rPr>
      </w:pPr>
      <w:r>
        <w:rPr>
          <w:rFonts w:ascii="Arial" w:hAnsi="Arial"/>
          <w:sz w:val="28"/>
          <w:lang w:val="en-US"/>
        </w:rPr>
        <w:t xml:space="preserve">Cattle for slaughter. Beef and veal carcasses, semi-carcasses </w:t>
      </w:r>
      <w:r w:rsidRPr="00024F03">
        <w:rPr>
          <w:rFonts w:ascii="Arial" w:hAnsi="Arial"/>
          <w:sz w:val="28"/>
          <w:lang w:val="en-US"/>
        </w:rPr>
        <w:br/>
      </w:r>
      <w:r>
        <w:rPr>
          <w:rFonts w:ascii="Arial" w:hAnsi="Arial"/>
          <w:sz w:val="28"/>
          <w:lang w:val="en-US"/>
        </w:rPr>
        <w:t>and quarters.</w:t>
      </w:r>
      <w:r w:rsidRPr="00024F03">
        <w:rPr>
          <w:rFonts w:ascii="Arial" w:hAnsi="Arial"/>
          <w:sz w:val="28"/>
          <w:lang w:val="en-US"/>
        </w:rPr>
        <w:t xml:space="preserve"> </w:t>
      </w:r>
      <w:r>
        <w:rPr>
          <w:rFonts w:ascii="Arial" w:hAnsi="Arial"/>
          <w:sz w:val="28"/>
          <w:lang w:val="en-US"/>
        </w:rPr>
        <w:t>Specifications</w:t>
      </w:r>
    </w:p>
    <w:p w:rsidR="00473FFE" w:rsidRPr="00024F03" w:rsidRDefault="00602B68" w:rsidP="00473FFE">
      <w:pPr>
        <w:tabs>
          <w:tab w:val="left" w:pos="2227"/>
          <w:tab w:val="center" w:pos="4677"/>
        </w:tabs>
        <w:suppressAutoHyphens/>
        <w:jc w:val="center"/>
        <w:rPr>
          <w:rFonts w:ascii="Arial" w:hAnsi="Arial"/>
          <w:sz w:val="28"/>
          <w:lang w:val="en-US"/>
        </w:rPr>
      </w:pPr>
      <w:r>
        <w:rPr>
          <w:rFonts w:ascii="Arial" w:hAnsi="Arial"/>
          <w:sz w:val="28"/>
        </w:rPr>
        <w:pict>
          <v:rect id="_x0000_i1025" style="width:467.75pt;height:1.2pt" o:hralign="center" o:hrstd="t" o:hrnoshade="t" o:hr="t" fillcolor="black" stroked="f"/>
        </w:pict>
      </w:r>
    </w:p>
    <w:p w:rsidR="00473FFE" w:rsidRPr="00024F03" w:rsidRDefault="00473FFE" w:rsidP="00473FFE">
      <w:pPr>
        <w:spacing w:line="360" w:lineRule="auto"/>
        <w:jc w:val="right"/>
        <w:rPr>
          <w:rFonts w:ascii="Arial" w:hAnsi="Arial"/>
        </w:rPr>
      </w:pPr>
      <w:r w:rsidRPr="00024F03">
        <w:rPr>
          <w:rFonts w:ascii="Arial" w:hAnsi="Arial"/>
        </w:rPr>
        <w:t>Дата</w:t>
      </w:r>
      <w:r w:rsidRPr="009A1EC1">
        <w:rPr>
          <w:rFonts w:ascii="Arial" w:hAnsi="Arial"/>
        </w:rPr>
        <w:t xml:space="preserve"> </w:t>
      </w:r>
      <w:r w:rsidRPr="00024F03">
        <w:rPr>
          <w:rFonts w:ascii="Arial" w:hAnsi="Arial"/>
        </w:rPr>
        <w:t>введения</w:t>
      </w:r>
      <w:r w:rsidRPr="00024F03">
        <w:rPr>
          <w:rFonts w:ascii="Arial" w:hAnsi="Arial"/>
          <w:lang w:val="en-US"/>
        </w:rPr>
        <w:t> </w:t>
      </w:r>
      <w:r w:rsidRPr="009A1EC1">
        <w:rPr>
          <w:rFonts w:ascii="Arial" w:hAnsi="Arial" w:cs="Arial"/>
        </w:rPr>
        <w:t>–</w:t>
      </w:r>
      <w:r w:rsidRPr="00024F03">
        <w:rPr>
          <w:rFonts w:ascii="Arial" w:hAnsi="Arial"/>
          <w:lang w:val="en-US"/>
        </w:rPr>
        <w:t>                    </w:t>
      </w:r>
      <w:r>
        <w:rPr>
          <w:rFonts w:ascii="Arial" w:hAnsi="Arial"/>
        </w:rPr>
        <w:t>      </w:t>
      </w:r>
    </w:p>
    <w:p w:rsidR="00473FFE" w:rsidRDefault="00473FFE" w:rsidP="00473FFE">
      <w:pPr>
        <w:keepNext/>
        <w:suppressAutoHyphens/>
        <w:spacing w:line="360" w:lineRule="auto"/>
        <w:ind w:firstLine="709"/>
        <w:outlineLvl w:val="4"/>
        <w:rPr>
          <w:rFonts w:ascii="Arial" w:hAnsi="Arial"/>
          <w:b/>
          <w:sz w:val="28"/>
          <w:szCs w:val="28"/>
          <w:lang w:val="x-none" w:eastAsia="x-none"/>
        </w:rPr>
      </w:pPr>
      <w:r>
        <w:rPr>
          <w:rFonts w:ascii="Arial" w:hAnsi="Arial"/>
          <w:b/>
          <w:sz w:val="28"/>
          <w:szCs w:val="28"/>
          <w:lang w:val="x-none" w:eastAsia="x-none"/>
        </w:rPr>
        <w:t>1 Область применения</w:t>
      </w:r>
    </w:p>
    <w:p w:rsidR="00473FFE" w:rsidRDefault="00473FFE" w:rsidP="00473FFE">
      <w:pPr>
        <w:pStyle w:val="1"/>
        <w:keepNext w:val="0"/>
        <w:widowControl w:val="0"/>
        <w:spacing w:before="0" w:after="0" w:line="360" w:lineRule="auto"/>
        <w:ind w:firstLine="709"/>
        <w:jc w:val="both"/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</w:pP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Настоящий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стандарт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распространяется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на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крупный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рогатый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скот</w:t>
      </w:r>
      <w:r w:rsidRPr="009A1EC1"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 xml:space="preserve">, </w:t>
      </w:r>
      <w:r>
        <w:rPr>
          <w:rFonts w:ascii="Arial" w:hAnsi="Arial" w:cs="Arial"/>
          <w:b w:val="0"/>
          <w:bCs w:val="0"/>
          <w:color w:val="000000"/>
          <w:kern w:val="0"/>
          <w:sz w:val="24"/>
          <w:szCs w:val="24"/>
        </w:rPr>
        <w:t>предназначенный для убоя, говядину, телятину и молочную телятину в тушах, полутушах и четвертинах, предназначенные для реализации в торговле, сети общественного питания и производства пищевой продукции.</w:t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val="x-none"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2</w:t>
      </w:r>
      <w:r>
        <w:rPr>
          <w:rFonts w:ascii="Arial" w:hAnsi="Arial"/>
          <w:b/>
          <w:sz w:val="28"/>
          <w:szCs w:val="28"/>
          <w:lang w:val="x-none" w:eastAsia="x-none"/>
        </w:rPr>
        <w:t> Нормативные ссылки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В настоящем стандарте использованы нормативные ссылки на следующие межгосударственные стандарты: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8.453-82 Государственная система обеспечения единства измерений (ГСИ). Весы для статического взвешивания. Методы и средства поверки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427-75 Линейки измерительные металлические. Технические условия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7269-2015 Мясо. Методы отбора образцов и органолептические методы определения свежести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10444.15–94 Продукты пищевые. Методы определения количества мезофильных аэробных и факультативно-анаэробных микроорганизмов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14192–96 Маркировка грузов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15846–2002 Продукция, отправляемая в районы Крайнего Севера и приравненные к ним местности. Упаковка, маркировка, транспортирование и хранение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16020–70 Скот для убоя. Термины и определения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18157–88 Продукты убоя скота. Термины и определения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19496-2013 Мясо и мясные продукты. Метод гистологического исследования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 w:rsidRPr="00024F03">
        <w:rPr>
          <w:rFonts w:ascii="Arial" w:hAnsi="Arial" w:cs="Arial"/>
          <w:color w:val="000000"/>
        </w:rPr>
        <w:t>ГОСТ 21237–75 Мясо. Методы бактериологического анализа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23392-78 Мясо. Методы химического и микроскопического анализа свежести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ГОСТ 26669–85 Продукты пищевые и вкусовые. Подготовка проб для микробиологических анализов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26670–91 Продукты пищевые. Методы культивирования микроорганизмов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26927–86 Сырье и продукты пищевые. Методы определения ртути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26929–94 Сырье и продукты пищевые. Подготовка проб. Минерализация для определения содержания токсичных элементов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26930–86 Сырье и продукты пищевые. Метод определения мышьяка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26932–86 Сырье и продукты пищевые. Методы определения свинца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26933–86 Сырье и продукты пищевые. Методы определения кадмия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  <w:highlight w:val="yellow"/>
        </w:rPr>
      </w:pPr>
      <w:r>
        <w:rPr>
          <w:rFonts w:ascii="Arial" w:hAnsi="Arial" w:cs="Arial"/>
          <w:color w:val="000000"/>
        </w:rPr>
        <w:t>ГОСТ 28560-90 Продукты пищевые. Метод выявления бактерий родов Proteus, Morganella, Providencia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29329</w:t>
      </w:r>
      <w:r w:rsidRPr="00937591">
        <w:rPr>
          <w:rFonts w:ascii="Arial" w:hAnsi="Arial" w:cs="Arial"/>
          <w:color w:val="000000"/>
        </w:rPr>
        <w:t>-92 Весы для статического взвешивания. Общие технические требования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30178–96 Сырье и продукты пищевые. Атомно-абсорбционный метод определения токсичных элементов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30538–97 Продукты пищевые. Методика определения токсичных элементов атомно-эмиссионным методом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31628–2012 Продукты пищевые и продовольственное сырье. Инверсионно-вольтамперометрический метод определения массовой концентрации мышьяка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31659-2012 (ISO 6579:2002) Продукты пищевые. Метод выявления бактерий рода Salmonella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31671-2012 (EN 13805:2002) Продукты пищевые. Определение следовых элементов. Подготовка проб методом минерализации при повышенном давлении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31747-2012 Продукты пищевые. Методы выявления и определения количества бактерий группы кишечных палочек (колиформных бактерий)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31904-2012 Продукты пищевые. Методы отбора проб для микробиологических испытаний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ГОСТ 32031-2012 Продукты пищевые. Методы выявления бактерий Listeria monocytogenes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 w:rsidRPr="00107E7E">
        <w:rPr>
          <w:rFonts w:ascii="Arial" w:hAnsi="Arial" w:cs="Arial"/>
          <w:color w:val="000000"/>
        </w:rPr>
        <w:t>ГОСТ 32161-2013 Продукты пищевые. Метод определения содержания цезия Cs-137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ГОСТ 32164-2013 Продукты пищевые. Метод отбора проб для определения стронция Sr-90 и цезия Cs-137</w:t>
      </w:r>
    </w:p>
    <w:p w:rsidR="00473FFE" w:rsidRDefault="00473FFE" w:rsidP="00473FFE">
      <w:pPr>
        <w:suppressAutoHyphens/>
        <w:spacing w:after="240"/>
        <w:ind w:firstLine="709"/>
        <w:jc w:val="both"/>
        <w:rPr>
          <w:rFonts w:ascii="Arial" w:hAnsi="Arial" w:cs="Arial"/>
          <w:sz w:val="22"/>
          <w:szCs w:val="28"/>
        </w:rPr>
      </w:pPr>
      <w:r>
        <w:rPr>
          <w:rFonts w:ascii="Arial" w:hAnsi="Arial" w:cs="Arial"/>
          <w:sz w:val="22"/>
          <w:szCs w:val="28"/>
        </w:rPr>
        <w:t>П р и м е ч а н и е — При пользовании настоящим стандартом целесообразно проверить действие ссылочных стандартов в информационной системе общего пользования — на официальном сайте Федерального агентства по техническому регулированию и метрологии в сети Интернет или по ежегодно издаваемому указателю «Национальные стандарты», который опубликован по состоянию на 1</w:t>
      </w:r>
      <w:r>
        <w:rPr>
          <w:rFonts w:ascii="Arial" w:hAnsi="Arial" w:cs="Arial"/>
          <w:sz w:val="22"/>
          <w:szCs w:val="28"/>
          <w:lang w:val="en-US"/>
        </w:rPr>
        <w:t> </w:t>
      </w:r>
      <w:r>
        <w:rPr>
          <w:rFonts w:ascii="Arial" w:hAnsi="Arial" w:cs="Arial"/>
          <w:sz w:val="22"/>
          <w:szCs w:val="28"/>
        </w:rPr>
        <w:t>января текущего года, и по соответствующим ежемесячно издаваемым информационным указателям, опубликованным в текущем году. Если ссылочный стандарт заменен (изменен), то при пользовании настоящим стандартом следует руководствоваться замененным (измененным) стандартом. Если ссылочный стандарт отменен без замены, то положение, в котором дана ссылка на него, применяется в части, не затрагивающей эту ссылку.</w:t>
      </w:r>
    </w:p>
    <w:p w:rsidR="00473FFE" w:rsidRDefault="00473FFE" w:rsidP="00473FFE">
      <w:pPr>
        <w:pStyle w:val="ab"/>
      </w:pPr>
    </w:p>
    <w:p w:rsidR="00473FFE" w:rsidRDefault="00473FFE" w:rsidP="00473FFE">
      <w:pPr>
        <w:keepNext/>
        <w:suppressAutoHyphens/>
        <w:spacing w:line="360" w:lineRule="auto"/>
        <w:ind w:firstLine="709"/>
        <w:outlineLvl w:val="4"/>
        <w:rPr>
          <w:rFonts w:ascii="Arial" w:hAnsi="Arial"/>
          <w:b/>
          <w:sz w:val="28"/>
          <w:szCs w:val="28"/>
          <w:lang w:val="x-none"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3</w:t>
      </w:r>
      <w:r>
        <w:rPr>
          <w:rFonts w:ascii="Arial" w:hAnsi="Arial"/>
          <w:b/>
          <w:sz w:val="28"/>
          <w:szCs w:val="28"/>
          <w:lang w:val="x-none" w:eastAsia="x-none"/>
        </w:rPr>
        <w:t> Термины и определения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В</w:t>
      </w:r>
      <w:r>
        <w:t xml:space="preserve"> </w:t>
      </w:r>
      <w:r>
        <w:rPr>
          <w:rFonts w:ascii="Arial" w:hAnsi="Arial" w:cs="Arial"/>
          <w:color w:val="000000"/>
        </w:rPr>
        <w:t xml:space="preserve">настоящем стандарте применены термины по ГОСТ 16020, ГОСТ 18157, </w:t>
      </w:r>
      <w:r>
        <w:rPr>
          <w:rFonts w:ascii="Arial" w:hAnsi="Arial" w:cs="Arial"/>
          <w:color w:val="000000"/>
        </w:rPr>
        <w:br/>
        <w:t>а также следующие термины с соответствующими определениями: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 </w:t>
      </w:r>
      <w:r>
        <w:rPr>
          <w:rFonts w:ascii="Arial" w:hAnsi="Arial" w:cs="Arial"/>
          <w:b/>
          <w:color w:val="000000"/>
        </w:rPr>
        <w:t>молодняк крупного рогатого скота</w:t>
      </w:r>
      <w:r>
        <w:rPr>
          <w:rFonts w:ascii="Arial" w:hAnsi="Arial" w:cs="Arial"/>
          <w:color w:val="000000"/>
        </w:rPr>
        <w:t>: Бычок в возрасте от 8 месяцев до 2 лет; бычок-кастрат, телка и корова-первотелка в возрасте от 8 месяцев до 3 лет.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3.2 </w:t>
      </w:r>
      <w:r>
        <w:rPr>
          <w:rFonts w:ascii="Arial" w:hAnsi="Arial" w:cs="Arial"/>
          <w:b/>
          <w:color w:val="000000"/>
        </w:rPr>
        <w:t>корова-первотелка</w:t>
      </w:r>
      <w:r>
        <w:rPr>
          <w:rFonts w:ascii="Arial" w:hAnsi="Arial" w:cs="Arial"/>
          <w:color w:val="000000"/>
        </w:rPr>
        <w:t>: Молодая самка крупного рогатого скота, телившаяся один раз.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3.3 </w:t>
      </w:r>
      <w:r>
        <w:rPr>
          <w:rFonts w:ascii="Arial" w:hAnsi="Arial" w:cs="Arial"/>
          <w:b/>
          <w:color w:val="000000"/>
        </w:rPr>
        <w:t>взрослый крупный рогатый скот</w:t>
      </w:r>
      <w:r>
        <w:rPr>
          <w:rFonts w:ascii="Arial" w:hAnsi="Arial" w:cs="Arial"/>
          <w:color w:val="000000"/>
        </w:rPr>
        <w:t>: Коровы двух и более отелов, быки старше 2 лет.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3.4 </w:t>
      </w:r>
      <w:r>
        <w:rPr>
          <w:rFonts w:ascii="Arial" w:hAnsi="Arial" w:cs="Arial"/>
          <w:b/>
          <w:color w:val="000000"/>
        </w:rPr>
        <w:t>теленок</w:t>
      </w:r>
      <w:r>
        <w:rPr>
          <w:rFonts w:ascii="Arial" w:hAnsi="Arial" w:cs="Arial"/>
          <w:color w:val="000000"/>
        </w:rPr>
        <w:t>: Крупный рогатый скот независимо от пола в возрасте от 3 до 8 месяцев.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3.5 </w:t>
      </w:r>
      <w:r>
        <w:rPr>
          <w:rFonts w:ascii="Arial" w:hAnsi="Arial" w:cs="Arial"/>
          <w:b/>
          <w:color w:val="000000"/>
        </w:rPr>
        <w:t>категория молодняка крупного рогатого скота</w:t>
      </w:r>
      <w:r>
        <w:rPr>
          <w:rFonts w:ascii="Arial" w:hAnsi="Arial" w:cs="Arial"/>
          <w:color w:val="000000"/>
        </w:rPr>
        <w:t>: Характеристика молодняка крупного рогатого скота в зависимости от живой массы, класса и подкласса.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3.6 </w:t>
      </w:r>
      <w:r>
        <w:rPr>
          <w:rFonts w:ascii="Arial" w:hAnsi="Arial" w:cs="Arial"/>
          <w:b/>
          <w:color w:val="000000"/>
        </w:rPr>
        <w:t>класс молодняка крупного рогатого скота</w:t>
      </w:r>
      <w:r>
        <w:rPr>
          <w:rFonts w:ascii="Arial" w:hAnsi="Arial" w:cs="Arial"/>
          <w:color w:val="000000"/>
        </w:rPr>
        <w:t>: Характеристика молодняка крупного рогатого скота в зависимости от выполненности форм тела и развития мускулатуры.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3.7 </w:t>
      </w:r>
      <w:r>
        <w:rPr>
          <w:rFonts w:ascii="Arial" w:hAnsi="Arial" w:cs="Arial"/>
          <w:b/>
          <w:color w:val="000000"/>
        </w:rPr>
        <w:t>подкласс молодняка крупного рогатого скота</w:t>
      </w:r>
      <w:r>
        <w:rPr>
          <w:rFonts w:ascii="Arial" w:hAnsi="Arial" w:cs="Arial"/>
          <w:color w:val="000000"/>
        </w:rPr>
        <w:t>: Характеристика молодняка крупного рогатого скота  в зависимости от упитанности.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3.8 </w:t>
      </w:r>
      <w:r>
        <w:rPr>
          <w:rFonts w:ascii="Arial" w:hAnsi="Arial" w:cs="Arial"/>
          <w:b/>
          <w:color w:val="000000"/>
        </w:rPr>
        <w:t>категория взрослого крупного рогатого скота, телят и телят молочников</w:t>
      </w:r>
      <w:r>
        <w:rPr>
          <w:rFonts w:ascii="Arial" w:hAnsi="Arial" w:cs="Arial"/>
          <w:color w:val="000000"/>
        </w:rPr>
        <w:t>: Характеристика взрослого крупного рогатого скота, телят и телят молочников в зависимости от упитанности.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3.9 </w:t>
      </w:r>
      <w:r>
        <w:rPr>
          <w:rFonts w:ascii="Arial" w:hAnsi="Arial" w:cs="Arial"/>
          <w:b/>
          <w:color w:val="000000"/>
        </w:rPr>
        <w:t>упитанность молодняка крупного рогатого скота (туши)</w:t>
      </w:r>
      <w:r>
        <w:rPr>
          <w:rFonts w:ascii="Arial" w:hAnsi="Arial" w:cs="Arial"/>
          <w:color w:val="000000"/>
        </w:rPr>
        <w:t>: Степень развития жировой ткани, определяемая прощупыванием животного (визуально — на тушах).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3.10 </w:t>
      </w:r>
      <w:r>
        <w:rPr>
          <w:rFonts w:ascii="Arial" w:hAnsi="Arial" w:cs="Arial"/>
          <w:b/>
          <w:color w:val="000000"/>
        </w:rPr>
        <w:t>упитанность взрослого крупного рогатого скота (туши)</w:t>
      </w:r>
      <w:r>
        <w:rPr>
          <w:rFonts w:ascii="Arial" w:hAnsi="Arial" w:cs="Arial"/>
          <w:color w:val="000000"/>
        </w:rPr>
        <w:t>: Степень развития мышечной и жировой ткани, определяемая прощупыванием у животного (визуально — на тушах).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3.11 </w:t>
      </w:r>
      <w:r>
        <w:rPr>
          <w:rFonts w:ascii="Arial" w:hAnsi="Arial" w:cs="Arial"/>
          <w:b/>
          <w:color w:val="000000"/>
        </w:rPr>
        <w:t>упитанность телят и телят молочников (туши)</w:t>
      </w:r>
      <w:r>
        <w:rPr>
          <w:rFonts w:ascii="Arial" w:hAnsi="Arial" w:cs="Arial"/>
          <w:color w:val="000000"/>
        </w:rPr>
        <w:t>: Степень развития мускулатуры, определяемая прощупыванием у животного (визуально — на тушах).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3.12 </w:t>
      </w:r>
      <w:r>
        <w:rPr>
          <w:rFonts w:ascii="Arial" w:hAnsi="Arial" w:cs="Arial"/>
          <w:b/>
          <w:color w:val="000000"/>
        </w:rPr>
        <w:t>говядина от молодняка крупного рогатого скота</w:t>
      </w:r>
      <w:r>
        <w:rPr>
          <w:rFonts w:ascii="Arial" w:hAnsi="Arial" w:cs="Arial"/>
          <w:color w:val="000000"/>
        </w:rPr>
        <w:t>: Мясо, полученное в результате переработки молодняка крупного рогатого скота.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3.13 </w:t>
      </w:r>
      <w:r>
        <w:rPr>
          <w:rFonts w:ascii="Arial" w:hAnsi="Arial" w:cs="Arial"/>
          <w:b/>
          <w:color w:val="000000"/>
        </w:rPr>
        <w:t>говядина от взрослого крупного рогатого скота</w:t>
      </w:r>
      <w:r>
        <w:rPr>
          <w:rFonts w:ascii="Arial" w:hAnsi="Arial" w:cs="Arial"/>
          <w:color w:val="000000"/>
        </w:rPr>
        <w:t>: Мясо, полученное в результате переработки взрослого крупного рогатого скота.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3.14 </w:t>
      </w:r>
      <w:r>
        <w:rPr>
          <w:rFonts w:ascii="Arial" w:hAnsi="Arial" w:cs="Arial"/>
          <w:b/>
          <w:color w:val="000000"/>
        </w:rPr>
        <w:t>категория говядины от молодняка крупного рогатого скота</w:t>
      </w:r>
      <w:r>
        <w:rPr>
          <w:rFonts w:ascii="Arial" w:hAnsi="Arial" w:cs="Arial"/>
          <w:color w:val="000000"/>
        </w:rPr>
        <w:t>: Характеристика говядины от молодняка крупного рогатого скота в зависимости от массы туш, класса и подкласса.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3.15 </w:t>
      </w:r>
      <w:r>
        <w:rPr>
          <w:rFonts w:ascii="Arial" w:hAnsi="Arial" w:cs="Arial"/>
          <w:b/>
          <w:color w:val="000000"/>
        </w:rPr>
        <w:t>класс говядины от молодняка крупного рогатого скота</w:t>
      </w:r>
      <w:r>
        <w:rPr>
          <w:rFonts w:ascii="Arial" w:hAnsi="Arial" w:cs="Arial"/>
          <w:color w:val="000000"/>
        </w:rPr>
        <w:t>: Характеристика говядины от молодняка крупного рогатого скота в зависимости от форм и развития мышц.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3.16 </w:t>
      </w:r>
      <w:r>
        <w:rPr>
          <w:rFonts w:ascii="Arial" w:hAnsi="Arial" w:cs="Arial"/>
          <w:b/>
          <w:color w:val="000000"/>
        </w:rPr>
        <w:t>подкласс говядины от молодняка крупного рогатого скота</w:t>
      </w:r>
      <w:r>
        <w:rPr>
          <w:rFonts w:ascii="Arial" w:hAnsi="Arial" w:cs="Arial"/>
          <w:color w:val="000000"/>
        </w:rPr>
        <w:t>: Характеристика говядины от молодняка крупного рогатого скота в зависимости от упитанности туш.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3.17 </w:t>
      </w:r>
      <w:r>
        <w:rPr>
          <w:rFonts w:ascii="Arial" w:hAnsi="Arial" w:cs="Arial"/>
          <w:b/>
          <w:color w:val="000000"/>
        </w:rPr>
        <w:t>категория говядины от взрослого крупного рогатого скота, телятины и молочной телятины</w:t>
      </w:r>
      <w:r>
        <w:rPr>
          <w:rFonts w:ascii="Arial" w:hAnsi="Arial" w:cs="Arial"/>
          <w:color w:val="000000"/>
        </w:rPr>
        <w:t>: Характеристика говядины от взрослого крупного рогатого скота, телятины и молочной телятины в зависимости от упитанности туш.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3.18 </w:t>
      </w:r>
      <w:r>
        <w:rPr>
          <w:rFonts w:ascii="Arial" w:hAnsi="Arial" w:cs="Arial"/>
          <w:b/>
          <w:color w:val="000000"/>
        </w:rPr>
        <w:t>молочная телятина</w:t>
      </w:r>
      <w:r>
        <w:rPr>
          <w:rFonts w:ascii="Arial" w:hAnsi="Arial" w:cs="Arial"/>
          <w:color w:val="000000"/>
        </w:rPr>
        <w:t>: Мясо, полученное в результате переработки теленка — молочника независимо от пола в возрасте от 14 дней до 3 месяцев.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3.19 </w:t>
      </w:r>
      <w:r>
        <w:rPr>
          <w:rFonts w:ascii="Arial" w:hAnsi="Arial" w:cs="Arial"/>
          <w:b/>
          <w:color w:val="000000"/>
        </w:rPr>
        <w:t>телятина</w:t>
      </w:r>
      <w:r>
        <w:rPr>
          <w:rFonts w:ascii="Arial" w:hAnsi="Arial" w:cs="Arial"/>
          <w:color w:val="000000"/>
        </w:rPr>
        <w:t>: Мясо, полученное в результате переработки телят независимо от пола в возрасте от 3 до 8 месяцев.</w:t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4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Классификация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4.1 В зависимости от пола и возраста крупный рогатый скот для убоя подразделяют: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молодняк — бычки (МБ), бычки-кастраты (МК), телки (МТ), коровы-первотелки (</w:t>
      </w:r>
      <w:r w:rsidRPr="0086125E">
        <w:rPr>
          <w:rFonts w:ascii="Arial" w:hAnsi="Arial" w:cs="Arial"/>
          <w:color w:val="000000"/>
        </w:rPr>
        <w:t>МКП</w:t>
      </w:r>
      <w:r>
        <w:rPr>
          <w:rFonts w:ascii="Arial" w:hAnsi="Arial" w:cs="Arial"/>
          <w:color w:val="000000"/>
        </w:rPr>
        <w:t>);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взрослый скот — коровы (ВК), быки (ВБ);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телята-молочники (ТМ); 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телята (Т).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4.2 Молодняк крупного рогатого скота подразделяют на категории: супер, прима, экстра, отличная, хорошая, удовлетворительная, низкая.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4.3 Взрослый крупный рогатый скот подразделяют на категории: первая, вторая.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4.4 Телят и телят-молочников подразделяют на категории: первая, вторая.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4.5 Говядину от молодняка крупного рогатого скота подразделяют на категории: супер, прима, экстра, отличная, хорошая, удовлетворительная, низкая.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4.6 Говядину от взрослого крупного рогатого скота подразделяют на категории: первая, вторая.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4.7 Телятину и молочную телятину подразделяют на категории: первая, вторая.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4.8 По термическому состоянию говядину и телятину подразделяют: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на парную;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охлажденную;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замороженную.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4.9 По термическому состоянию молочную телятину подразделяют: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на парную;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охлажденную.</w:t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5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Технические требования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5.1 Крупный рогатый скот для убоя, говядина, телятина и молочная телятина должны соответствовать требованиям настоящего стандарта, [1], [2] или нормативным правовым актам, действующим на территории государства, принявшего стандарт.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Убой крупного рогатого скота и выработку говядины, телятины и молочной телятины проводят по технологической инструкции с соблюдением требований [1], [2] или нормативных правовых актов, действующих на территории государства, принявшего стандарт.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5.2 Характеристики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5.2.1 Молодняк крупного рогатого скота подразделяют на категории в соответствии с требованиями, указанными в таблице 1.</w:t>
      </w:r>
      <w:r>
        <w:rPr>
          <w:rFonts w:ascii="Arial" w:hAnsi="Arial" w:cs="Arial"/>
          <w:color w:val="000000"/>
        </w:rPr>
        <w:br w:type="page"/>
      </w:r>
    </w:p>
    <w:p w:rsidR="00473FFE" w:rsidRDefault="00473FFE" w:rsidP="00473FFE">
      <w:pPr>
        <w:jc w:val="both"/>
        <w:rPr>
          <w:rFonts w:ascii="Arial" w:hAnsi="Arial" w:cs="Arial"/>
          <w:color w:val="000000"/>
          <w:sz w:val="22"/>
        </w:rPr>
      </w:pPr>
      <w:r>
        <w:rPr>
          <w:rFonts w:ascii="Arial" w:hAnsi="Arial" w:cs="Arial"/>
          <w:color w:val="000000"/>
          <w:sz w:val="22"/>
        </w:rPr>
        <w:lastRenderedPageBreak/>
        <w:t>Т а б л и ц а  1</w:t>
      </w:r>
    </w:p>
    <w:tbl>
      <w:tblPr>
        <w:tblW w:w="0" w:type="auto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410"/>
        <w:gridCol w:w="2977"/>
        <w:gridCol w:w="1843"/>
        <w:gridCol w:w="2239"/>
      </w:tblGrid>
      <w:tr w:rsidR="00473FFE" w:rsidTr="00D52828">
        <w:trPr>
          <w:trHeight w:val="49"/>
        </w:trPr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Категория</w:t>
            </w:r>
          </w:p>
        </w:tc>
        <w:tc>
          <w:tcPr>
            <w:tcW w:w="70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Требования</w:t>
            </w:r>
          </w:p>
        </w:tc>
      </w:tr>
      <w:tr w:rsidR="00473FFE" w:rsidTr="00D52828">
        <w:trPr>
          <w:trHeight w:val="49"/>
        </w:trPr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Pr="00737E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Живая масса, кг</w:t>
            </w:r>
            <w:r>
              <w:rPr>
                <w:rFonts w:ascii="Arial" w:hAnsi="Arial" w:cs="Arial"/>
                <w:sz w:val="22"/>
                <w:szCs w:val="22"/>
                <w:vertAlign w:val="superscript"/>
                <w:lang w:eastAsia="en-US"/>
              </w:rPr>
              <w:t>*</w:t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, не менее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Класс, не ниже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Подкласс, не выше</w:t>
            </w:r>
          </w:p>
        </w:tc>
      </w:tr>
      <w:tr w:rsidR="00473FFE" w:rsidTr="00D52828">
        <w:trPr>
          <w:trHeight w:val="46"/>
        </w:trPr>
        <w:tc>
          <w:tcPr>
            <w:tcW w:w="241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Супер</w:t>
            </w:r>
          </w:p>
        </w:tc>
        <w:tc>
          <w:tcPr>
            <w:tcW w:w="297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550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А</w:t>
            </w:r>
          </w:p>
        </w:tc>
        <w:tc>
          <w:tcPr>
            <w:tcW w:w="223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</w:t>
            </w:r>
          </w:p>
        </w:tc>
      </w:tr>
      <w:tr w:rsidR="00473FFE" w:rsidTr="00D52828">
        <w:trPr>
          <w:trHeight w:val="49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Прима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А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</w:t>
            </w:r>
          </w:p>
        </w:tc>
      </w:tr>
      <w:tr w:rsidR="00473FFE" w:rsidTr="00D52828">
        <w:trPr>
          <w:trHeight w:val="3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Экстра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450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Б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</w:t>
            </w:r>
          </w:p>
        </w:tc>
      </w:tr>
      <w:tr w:rsidR="00473FFE" w:rsidTr="00D52828">
        <w:trPr>
          <w:trHeight w:val="3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Отличная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Г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</w:t>
            </w:r>
          </w:p>
        </w:tc>
      </w:tr>
      <w:tr w:rsidR="00473FFE" w:rsidTr="00D52828">
        <w:trPr>
          <w:trHeight w:val="51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Хорошая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Г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</w:t>
            </w:r>
          </w:p>
        </w:tc>
      </w:tr>
      <w:tr w:rsidR="00473FFE" w:rsidTr="00D52828">
        <w:trPr>
          <w:trHeight w:val="3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Удовлетворительная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300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Д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2</w:t>
            </w:r>
          </w:p>
        </w:tc>
      </w:tr>
      <w:tr w:rsidR="00473FFE" w:rsidTr="00D52828">
        <w:trPr>
          <w:trHeight w:val="3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57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Низкая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Менее 300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Д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2</w:t>
            </w:r>
          </w:p>
        </w:tc>
      </w:tr>
      <w:tr w:rsidR="00473FFE" w:rsidTr="00D52828">
        <w:trPr>
          <w:trHeight w:val="49"/>
        </w:trPr>
        <w:tc>
          <w:tcPr>
            <w:tcW w:w="94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ind w:firstLine="142"/>
              <w:jc w:val="both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vertAlign w:val="superscript"/>
                <w:lang w:eastAsia="en-US"/>
              </w:rPr>
              <w:t>*</w:t>
            </w: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 xml:space="preserve"> Под живой массой понимают массу крупного рогатого скота за вычетом утвержденных в установленном порядке скидок с фактической живой массы.</w:t>
            </w:r>
          </w:p>
        </w:tc>
      </w:tr>
    </w:tbl>
    <w:p w:rsidR="00473FFE" w:rsidRDefault="00473FFE" w:rsidP="00473FFE">
      <w:pPr>
        <w:spacing w:before="240"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5.2.2 Оценку молодняка крупного рогатого скота по классам осуществляют в соответствии с требованиями, указанными в таблице 2.</w:t>
      </w:r>
    </w:p>
    <w:p w:rsidR="00473FFE" w:rsidRDefault="00473FFE" w:rsidP="00473FFE">
      <w:pPr>
        <w:spacing w:line="276" w:lineRule="auto"/>
        <w:jc w:val="both"/>
        <w:rPr>
          <w:rFonts w:ascii="Arial" w:hAnsi="Arial" w:cs="Arial"/>
          <w:color w:val="000000"/>
          <w:sz w:val="22"/>
        </w:rPr>
      </w:pPr>
      <w:r>
        <w:rPr>
          <w:rFonts w:ascii="Arial" w:hAnsi="Arial" w:cs="Arial"/>
          <w:color w:val="000000"/>
          <w:sz w:val="22"/>
        </w:rPr>
        <w:t>Т а б л и ц а  2</w:t>
      </w:r>
    </w:p>
    <w:tbl>
      <w:tblPr>
        <w:tblW w:w="9498" w:type="dxa"/>
        <w:tblInd w:w="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5"/>
        <w:gridCol w:w="8683"/>
      </w:tblGrid>
      <w:tr w:rsidR="00473FFE" w:rsidTr="00D52828">
        <w:trPr>
          <w:trHeight w:val="79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Класс</w:t>
            </w:r>
          </w:p>
        </w:tc>
        <w:tc>
          <w:tcPr>
            <w:tcW w:w="868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2695"/>
        </w:trPr>
        <w:tc>
          <w:tcPr>
            <w:tcW w:w="81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3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А</w:t>
            </w:r>
          </w:p>
        </w:tc>
        <w:tc>
          <w:tcPr>
            <w:tcW w:w="868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36" w:lineRule="auto"/>
              <w:ind w:firstLine="176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 xml:space="preserve">Формы туловища сильно выпуклые и округлые, пропорциональные, кости тела не просматриваются и не выступают, мускулатура развита </w:t>
            </w:r>
            <w:r>
              <w:rPr>
                <w:rFonts w:ascii="Arial" w:hAnsi="Arial" w:cs="Arial"/>
                <w:sz w:val="22"/>
                <w:szCs w:val="28"/>
                <w:lang w:eastAsia="en-US"/>
              </w:rPr>
              <w:t>пышно</w:t>
            </w: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. Тазобедренная часть очень широкая и ровная, нависание мышц бедра в области коленного сустава хорошо выражено, основание хвоста округлое, седалищные бугры и маклоки слегка обозначены, но не выступают; спина и поясница широкие и толстые почти до холки, тело бочкообразное, остистые отростки позвонков покрыты мускулатурой, лишь слегка обозначены, но не выступают; холка толстая и широкая, лопатки и грудь округлые и широкие, без перехвата за лопатками; задние и передние ноги широко расставлены; при осмотре сзади животное выглядит округлым, с выпуклой мускулатурой, при осмотре спереди — широким, с очень хорошо развитой грудью (рисунок 1А)</w:t>
            </w:r>
          </w:p>
        </w:tc>
      </w:tr>
      <w:tr w:rsidR="00473FFE" w:rsidTr="00D52828">
        <w:trPr>
          <w:trHeight w:val="3183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Б</w:t>
            </w:r>
          </w:p>
        </w:tc>
        <w:tc>
          <w:tcPr>
            <w:tcW w:w="868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176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Формы туловища выпуклые и округлые, мускулатура развита хорошо; тазобедренная часть широкая и ровная, округлая, мускулатура бедра в области коленного сустава заметна, но не нависает, седалищные бугры и маклоки слегка выступают; поясница и спина средней ширины и толщины, спина заметно сужается к холке, остистые отростки позвонков слегка выступают; лопатки и грудь хорошо развиты, без перехватов за лопатками, холка достаточно толстая, не острая, умеренной ширины, грудные позвонки и ребра слегка обозначены; задние и передние ноги расставлены умеренно, не сближены; при осмотре сзади животное выглядит умеренно округлым, мускулатура умеренно развита, при осмотре спереди — средней ширины, плечи умеренно широкие, кости слегка просматриваются (рисунок 1Б)</w:t>
            </w:r>
          </w:p>
        </w:tc>
      </w:tr>
    </w:tbl>
    <w:p w:rsidR="00473FFE" w:rsidRDefault="00473FFE" w:rsidP="00473FFE">
      <w:r>
        <w:br w:type="page"/>
      </w:r>
    </w:p>
    <w:p w:rsidR="00473FFE" w:rsidRDefault="00473FFE" w:rsidP="00473FFE">
      <w:pPr>
        <w:rPr>
          <w:rFonts w:ascii="Arial" w:hAnsi="Arial" w:cs="Arial"/>
          <w:i/>
          <w:sz w:val="22"/>
        </w:rPr>
      </w:pPr>
      <w:r>
        <w:rPr>
          <w:rFonts w:ascii="Arial" w:hAnsi="Arial" w:cs="Arial"/>
          <w:i/>
          <w:sz w:val="22"/>
        </w:rPr>
        <w:lastRenderedPageBreak/>
        <w:t>Окончание таблицы 2</w:t>
      </w:r>
    </w:p>
    <w:tbl>
      <w:tblPr>
        <w:tblW w:w="9498" w:type="dxa"/>
        <w:tblInd w:w="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5"/>
        <w:gridCol w:w="8683"/>
      </w:tblGrid>
      <w:tr w:rsidR="00473FFE" w:rsidTr="00D52828">
        <w:trPr>
          <w:trHeight w:val="334"/>
        </w:trPr>
        <w:tc>
          <w:tcPr>
            <w:tcW w:w="815" w:type="dxa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Класс</w:t>
            </w:r>
          </w:p>
        </w:tc>
        <w:tc>
          <w:tcPr>
            <w:tcW w:w="8683" w:type="dxa"/>
            <w:tcBorders>
              <w:top w:val="single" w:sz="6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334"/>
        </w:trPr>
        <w:tc>
          <w:tcPr>
            <w:tcW w:w="81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Г</w:t>
            </w:r>
          </w:p>
        </w:tc>
        <w:tc>
          <w:tcPr>
            <w:tcW w:w="868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176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Формы туловища от слегка округлых до плоских и прямых, заметны впадины, мускулатура развита удовлетворительно, тазобедренная часть имеет развитие от среднего до удовлетворительного, заметны впадины у основания хвоста, седалищные бугры и маклоки умеренно выступают, но не острые; поясница и спина развиты умеренно; холка неширокая и умеренно острая, остистые отростки позвонков и ребра просматриваются; лопатка и грудь имеют развитие от средней округлости до плоских форм; передние и задние ноги умеренно расставлены, но не сближены; при осмотре сзади животное выглядит плоским и прямым, округлости не просматриваются, при осмотре спереди грудь узковата, плечи умеренной ширины, обозначены достаточно четко (рисунок 1Г)</w:t>
            </w:r>
          </w:p>
        </w:tc>
      </w:tr>
      <w:tr w:rsidR="00473FFE" w:rsidTr="00D52828">
        <w:trPr>
          <w:trHeight w:val="334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Д</w:t>
            </w:r>
          </w:p>
        </w:tc>
        <w:tc>
          <w:tcPr>
            <w:tcW w:w="8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FFE" w:rsidRDefault="00473FFE" w:rsidP="00D52828">
            <w:pPr>
              <w:widowControl w:val="0"/>
              <w:spacing w:line="360" w:lineRule="auto"/>
              <w:ind w:firstLine="176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Формы туловища плоские, угловатые, костяк выступает, возможны впадины за лопатками и у основания хвоста; тазобедренная часть удлиненная, может быть широкой, но со слабо развитой мускулатурой, седалищные бугры и маклоки выступают отчетливо; спина и поясница узкие, холка острая и неширокая, ребра четко просматриваются, лопатки и грудь плоские, лопатки выступают (рисунок 1Д)</w:t>
            </w:r>
          </w:p>
        </w:tc>
      </w:tr>
    </w:tbl>
    <w:p w:rsidR="00473FFE" w:rsidRDefault="00473FFE" w:rsidP="00473FFE">
      <w:r>
        <w:br w:type="page"/>
      </w:r>
    </w:p>
    <w:p w:rsidR="00473FFE" w:rsidRDefault="00473FFE" w:rsidP="00473FFE"/>
    <w:tbl>
      <w:tblPr>
        <w:tblpPr w:leftFromText="180" w:rightFromText="180" w:bottomFromText="200" w:vertAnchor="text" w:horzAnchor="margin" w:tblpXSpec="center" w:tblpY="121"/>
        <w:tblW w:w="9708" w:type="dxa"/>
        <w:tblLayout w:type="fixed"/>
        <w:tblLook w:val="04A0" w:firstRow="1" w:lastRow="0" w:firstColumn="1" w:lastColumn="0" w:noHBand="0" w:noVBand="1"/>
      </w:tblPr>
      <w:tblGrid>
        <w:gridCol w:w="550"/>
        <w:gridCol w:w="9158"/>
      </w:tblGrid>
      <w:tr w:rsidR="00473FFE" w:rsidTr="00D52828">
        <w:tc>
          <w:tcPr>
            <w:tcW w:w="550" w:type="dxa"/>
            <w:vAlign w:val="center"/>
            <w:hideMark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sz w:val="32"/>
                <w:szCs w:val="32"/>
                <w:lang w:eastAsia="en-US"/>
              </w:rPr>
            </w:pPr>
            <w:r>
              <w:rPr>
                <w:sz w:val="32"/>
                <w:szCs w:val="32"/>
                <w:lang w:eastAsia="en-US"/>
              </w:rPr>
              <w:t>А</w:t>
            </w:r>
          </w:p>
        </w:tc>
        <w:tc>
          <w:tcPr>
            <w:tcW w:w="9158" w:type="dxa"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ind w:hanging="124"/>
              <w:rPr>
                <w:noProof/>
                <w:szCs w:val="22"/>
                <w:lang w:eastAsia="en-US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1EA3A1CE" wp14:editId="06830DAB">
                  <wp:extent cx="5737860" cy="1676400"/>
                  <wp:effectExtent l="0" t="0" r="0" b="0"/>
                  <wp:docPr id="12" name="Рисунок 12" descr="ри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ри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" r="1765" b="77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786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lang w:eastAsia="en-US"/>
              </w:rPr>
            </w:pPr>
          </w:p>
        </w:tc>
      </w:tr>
      <w:tr w:rsidR="00473FFE" w:rsidTr="00D52828">
        <w:tc>
          <w:tcPr>
            <w:tcW w:w="550" w:type="dxa"/>
            <w:vAlign w:val="center"/>
            <w:hideMark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sz w:val="32"/>
                <w:szCs w:val="32"/>
                <w:lang w:eastAsia="en-US"/>
              </w:rPr>
            </w:pPr>
            <w:r>
              <w:rPr>
                <w:sz w:val="32"/>
                <w:szCs w:val="32"/>
                <w:lang w:eastAsia="en-US"/>
              </w:rPr>
              <w:t>Б</w:t>
            </w:r>
          </w:p>
        </w:tc>
        <w:tc>
          <w:tcPr>
            <w:tcW w:w="9158" w:type="dxa"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ind w:hanging="124"/>
              <w:jc w:val="both"/>
              <w:rPr>
                <w:noProof/>
                <w:szCs w:val="22"/>
                <w:lang w:eastAsia="en-US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6CB00494" wp14:editId="37AC8918">
                  <wp:extent cx="5798820" cy="1577340"/>
                  <wp:effectExtent l="0" t="0" r="0" b="3810"/>
                  <wp:docPr id="11" name="Рисунок 11" descr="ри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ри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00" r="2087" b="53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882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lang w:eastAsia="en-US"/>
              </w:rPr>
            </w:pPr>
          </w:p>
        </w:tc>
      </w:tr>
      <w:tr w:rsidR="00473FFE" w:rsidTr="00D52828">
        <w:tc>
          <w:tcPr>
            <w:tcW w:w="550" w:type="dxa"/>
            <w:vAlign w:val="center"/>
            <w:hideMark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sz w:val="32"/>
                <w:szCs w:val="32"/>
                <w:lang w:eastAsia="en-US"/>
              </w:rPr>
            </w:pPr>
            <w:r>
              <w:rPr>
                <w:sz w:val="32"/>
                <w:szCs w:val="32"/>
                <w:lang w:eastAsia="en-US"/>
              </w:rPr>
              <w:t>Г</w:t>
            </w:r>
          </w:p>
        </w:tc>
        <w:tc>
          <w:tcPr>
            <w:tcW w:w="9158" w:type="dxa"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ind w:hanging="124"/>
              <w:rPr>
                <w:noProof/>
                <w:szCs w:val="22"/>
                <w:lang w:eastAsia="en-US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711423C6" wp14:editId="2CAD5CC4">
                  <wp:extent cx="5745480" cy="1478280"/>
                  <wp:effectExtent l="0" t="0" r="7620" b="7620"/>
                  <wp:docPr id="10" name="Рисунок 10" descr="ри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ри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053" r="3050" b="27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548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lang w:eastAsia="en-US"/>
              </w:rPr>
            </w:pPr>
          </w:p>
        </w:tc>
      </w:tr>
      <w:tr w:rsidR="00473FFE" w:rsidTr="00D52828">
        <w:tc>
          <w:tcPr>
            <w:tcW w:w="550" w:type="dxa"/>
            <w:vAlign w:val="center"/>
            <w:hideMark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sz w:val="32"/>
                <w:szCs w:val="32"/>
                <w:lang w:eastAsia="en-US"/>
              </w:rPr>
            </w:pPr>
            <w:r>
              <w:rPr>
                <w:sz w:val="32"/>
                <w:szCs w:val="32"/>
                <w:lang w:eastAsia="en-US"/>
              </w:rPr>
              <w:t>Д</w:t>
            </w:r>
          </w:p>
        </w:tc>
        <w:tc>
          <w:tcPr>
            <w:tcW w:w="9158" w:type="dxa"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ind w:hanging="124"/>
              <w:rPr>
                <w:noProof/>
                <w:szCs w:val="22"/>
                <w:lang w:eastAsia="en-US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11CC8C2B" wp14:editId="6F2A139A">
                  <wp:extent cx="5737860" cy="1455420"/>
                  <wp:effectExtent l="0" t="0" r="0" b="0"/>
                  <wp:docPr id="9" name="Рисунок 9" descr="рис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рис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45" r="3371" b="3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786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rPr>
                <w:lang w:eastAsia="en-US"/>
              </w:rPr>
            </w:pPr>
          </w:p>
        </w:tc>
      </w:tr>
    </w:tbl>
    <w:p w:rsidR="00473FFE" w:rsidRDefault="00473FFE" w:rsidP="00473FF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Рисунок 1 —</w:t>
      </w:r>
      <w:r>
        <w:rPr>
          <w:rFonts w:ascii="Arial" w:hAnsi="Arial" w:cs="Arial"/>
          <w:bCs/>
          <w:color w:val="000000"/>
          <w:sz w:val="22"/>
          <w:szCs w:val="28"/>
        </w:rPr>
        <w:t xml:space="preserve"> В</w:t>
      </w:r>
      <w:r>
        <w:rPr>
          <w:rFonts w:ascii="Arial" w:hAnsi="Arial" w:cs="Arial"/>
          <w:color w:val="000000"/>
          <w:sz w:val="22"/>
          <w:szCs w:val="28"/>
        </w:rPr>
        <w:t>ыполненность форм тела и развитие мускулатуры по классам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5.2.3 Оценку молодняка крупного рогатого скота по подклассам осуществляют в соответствии с требованиями, указанными в таблице 3.</w:t>
      </w:r>
      <w:r>
        <w:rPr>
          <w:rFonts w:ascii="Arial" w:hAnsi="Arial" w:cs="Arial"/>
          <w:color w:val="000000"/>
          <w:szCs w:val="28"/>
        </w:rPr>
        <w:br w:type="page"/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lastRenderedPageBreak/>
        <w:t>Т а б л и ц а  3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219"/>
        <w:gridCol w:w="8528"/>
      </w:tblGrid>
      <w:tr w:rsidR="00473FFE" w:rsidTr="00D52828">
        <w:trPr>
          <w:trHeight w:val="334"/>
        </w:trPr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Подкласс</w:t>
            </w:r>
          </w:p>
        </w:tc>
        <w:tc>
          <w:tcPr>
            <w:tcW w:w="852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выше</w:t>
            </w:r>
          </w:p>
        </w:tc>
      </w:tr>
      <w:tr w:rsidR="00473FFE" w:rsidTr="00D52828">
        <w:tc>
          <w:tcPr>
            <w:tcW w:w="121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1</w:t>
            </w:r>
          </w:p>
        </w:tc>
        <w:tc>
          <w:tcPr>
            <w:tcW w:w="852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199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 xml:space="preserve">Подкожные жировые отложения развиты слабо, слегка прощупываются </w:t>
            </w: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br/>
              <w:t>у основания хвоста и на седалищных буграх, но незаметны в щупе</w:t>
            </w:r>
          </w:p>
        </w:tc>
      </w:tr>
      <w:tr w:rsidR="00473FFE" w:rsidTr="00D52828"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2</w:t>
            </w:r>
          </w:p>
        </w:tc>
        <w:tc>
          <w:tcPr>
            <w:tcW w:w="8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199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 xml:space="preserve">Подкожные жировые отложения отсутствуют по всему телу, </w:t>
            </w: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br/>
              <w:t>не прощупываются у основания хвоста, на седалищных буграх и в щупе</w:t>
            </w:r>
          </w:p>
        </w:tc>
      </w:tr>
    </w:tbl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5.2.4 Взрослый крупный рогатый скот подразделяют на категории  в соответствии с требованиями, указанными в таблице 4.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4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257"/>
        <w:gridCol w:w="8490"/>
      </w:tblGrid>
      <w:tr w:rsidR="00473FFE" w:rsidTr="00D52828">
        <w:trPr>
          <w:trHeight w:val="341"/>
        </w:trPr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Категория</w:t>
            </w:r>
          </w:p>
        </w:tc>
        <w:tc>
          <w:tcPr>
            <w:tcW w:w="849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341"/>
        </w:trPr>
        <w:tc>
          <w:tcPr>
            <w:tcW w:w="9747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Коровы</w:t>
            </w:r>
          </w:p>
        </w:tc>
      </w:tr>
      <w:tr w:rsidR="00473FFE" w:rsidTr="00D52828">
        <w:trPr>
          <w:trHeight w:val="811"/>
        </w:trPr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Первая</w:t>
            </w:r>
          </w:p>
        </w:tc>
        <w:tc>
          <w:tcPr>
            <w:tcW w:w="8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b"/>
              <w:widowControl w:val="0"/>
              <w:spacing w:line="336" w:lineRule="auto"/>
              <w:ind w:firstLine="161"/>
              <w:jc w:val="both"/>
              <w:rPr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</w:rPr>
              <w:t>Мускулатура развита удовлетворительно, формы туловища несколько угловатые, лопатки выделяются, бедра слегка подтянуты, остистые отростки спинных и поясничных позвонков, седалищные бугры и маклоки выступают, но не резко; отложения подкожного жира прощупываются у основания хвоста и на седалищных буграх, щуп выполнен слабо</w:t>
            </w:r>
          </w:p>
        </w:tc>
      </w:tr>
      <w:tr w:rsidR="00473FFE" w:rsidTr="00D52828">
        <w:trPr>
          <w:trHeight w:val="681"/>
        </w:trPr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3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Вторая</w:t>
            </w:r>
          </w:p>
        </w:tc>
        <w:tc>
          <w:tcPr>
            <w:tcW w:w="8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b"/>
              <w:widowControl w:val="0"/>
              <w:spacing w:line="336" w:lineRule="auto"/>
              <w:ind w:firstLine="161"/>
              <w:jc w:val="both"/>
              <w:rPr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</w:rPr>
              <w:t>Мускулатура развита менее удовлетворительно, формы туловища угловатые, лопатки заметно выделяются, бедра плоские, подтянутые, остистые отростки спинных и поясничных позвонков, маклоки и седалищные бугры заметно выступают; отложения подкожного жира могут быть в виде небольших участков на седалищных буграх и пояснице</w:t>
            </w:r>
          </w:p>
        </w:tc>
      </w:tr>
      <w:tr w:rsidR="00473FFE" w:rsidTr="00D52828">
        <w:tc>
          <w:tcPr>
            <w:tcW w:w="9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b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</w:rPr>
              <w:t>Быки</w:t>
            </w:r>
          </w:p>
        </w:tc>
      </w:tr>
      <w:tr w:rsidR="00473FFE" w:rsidTr="00D52828">
        <w:trPr>
          <w:trHeight w:val="51"/>
        </w:trPr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Первая</w:t>
            </w:r>
          </w:p>
        </w:tc>
        <w:tc>
          <w:tcPr>
            <w:tcW w:w="8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b"/>
              <w:widowControl w:val="0"/>
              <w:spacing w:line="360" w:lineRule="auto"/>
              <w:ind w:firstLine="161"/>
              <w:jc w:val="both"/>
              <w:rPr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</w:rPr>
              <w:t>Мускулатура развита хорошо, формы туловища округлые, грудь, спина, поясница и зад достаточно широкие, кости скелета не выступают, бедра и лопатки выполнены</w:t>
            </w:r>
          </w:p>
        </w:tc>
      </w:tr>
      <w:tr w:rsidR="00473FFE" w:rsidTr="00D52828"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Вторая</w:t>
            </w:r>
          </w:p>
        </w:tc>
        <w:tc>
          <w:tcPr>
            <w:tcW w:w="8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b"/>
              <w:widowControl w:val="0"/>
              <w:spacing w:line="360" w:lineRule="auto"/>
              <w:ind w:firstLine="161"/>
              <w:jc w:val="both"/>
              <w:rPr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</w:rPr>
              <w:t>Мускулатура развита удовлетворительно, формы туловища несколько угловатые, кости скелета слегка выступают, грудь, спина, поясница и зад не широкие, бедра и лопатки слегка подтянутые</w:t>
            </w:r>
          </w:p>
        </w:tc>
      </w:tr>
    </w:tbl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5.2.5 Телят-молочников подразделяют на категории в соответствии с требованиями, указанными в таблице 5.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5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447"/>
        <w:gridCol w:w="8107"/>
      </w:tblGrid>
      <w:tr w:rsidR="00473FFE" w:rsidTr="00D52828">
        <w:trPr>
          <w:jc w:val="center"/>
        </w:trPr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Категория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jc w:val="center"/>
        </w:trPr>
        <w:tc>
          <w:tcPr>
            <w:tcW w:w="1447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Первая</w:t>
            </w:r>
          </w:p>
        </w:tc>
        <w:tc>
          <w:tcPr>
            <w:tcW w:w="8107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192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Мускулатура развита хорошо, остистые отростки позвонков не выступают, шерсть гладкая. Слизистые оболочки век (конъюнктива) — белые, без красноватого оттенка, десен — белые или с легким розовым оттенком, губ и неба — белые или желтоватые. Живая масса не менее 30 кг</w:t>
            </w:r>
          </w:p>
        </w:tc>
      </w:tr>
    </w:tbl>
    <w:p w:rsidR="00473FFE" w:rsidRPr="00930679" w:rsidRDefault="00473FFE" w:rsidP="00473FFE">
      <w:pPr>
        <w:widowControl w:val="0"/>
        <w:autoSpaceDE w:val="0"/>
        <w:autoSpaceDN w:val="0"/>
        <w:adjustRightInd w:val="0"/>
        <w:spacing w:line="276" w:lineRule="auto"/>
        <w:rPr>
          <w:rFonts w:ascii="Arial" w:hAnsi="Arial" w:cs="Arial"/>
          <w:i/>
          <w:color w:val="000000"/>
          <w:sz w:val="22"/>
          <w:szCs w:val="28"/>
        </w:rPr>
      </w:pPr>
      <w:r>
        <w:rPr>
          <w:rFonts w:ascii="Arial" w:hAnsi="Arial" w:cs="Arial"/>
          <w:i/>
          <w:color w:val="000000"/>
          <w:sz w:val="22"/>
          <w:szCs w:val="28"/>
        </w:rPr>
        <w:lastRenderedPageBreak/>
        <w:t>Окончание таблицы</w:t>
      </w:r>
      <w:r w:rsidRPr="00930679">
        <w:rPr>
          <w:rFonts w:ascii="Arial" w:hAnsi="Arial" w:cs="Arial"/>
          <w:i/>
          <w:color w:val="000000"/>
          <w:sz w:val="22"/>
          <w:szCs w:val="28"/>
        </w:rPr>
        <w:t xml:space="preserve"> 5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447"/>
        <w:gridCol w:w="8107"/>
      </w:tblGrid>
      <w:tr w:rsidR="00473FFE" w:rsidTr="00D52828">
        <w:trPr>
          <w:jc w:val="center"/>
        </w:trPr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Категория</w:t>
            </w:r>
          </w:p>
        </w:tc>
        <w:tc>
          <w:tcPr>
            <w:tcW w:w="810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902"/>
          <w:jc w:val="center"/>
        </w:trPr>
        <w:tc>
          <w:tcPr>
            <w:tcW w:w="144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Вторая</w:t>
            </w:r>
          </w:p>
        </w:tc>
        <w:tc>
          <w:tcPr>
            <w:tcW w:w="810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192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Мускулатура развита удовлетворительно, остистые отростки позвонков слегка выступают. Слизистые оболочки век (конъюктива), десен, губ, неба могут иметь слегка красноватый оттенок</w:t>
            </w:r>
          </w:p>
        </w:tc>
      </w:tr>
    </w:tbl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5.2.6 Телят подразделяют на категории в соответствии с требованиями, указанными в таблице 6.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6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547"/>
        <w:gridCol w:w="8007"/>
      </w:tblGrid>
      <w:tr w:rsidR="00473FFE" w:rsidTr="00D52828">
        <w:trPr>
          <w:jc w:val="center"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Категория</w:t>
            </w:r>
          </w:p>
        </w:tc>
        <w:tc>
          <w:tcPr>
            <w:tcW w:w="802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jc w:val="center"/>
        </w:trPr>
        <w:tc>
          <w:tcPr>
            <w:tcW w:w="154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Первая</w:t>
            </w:r>
          </w:p>
        </w:tc>
        <w:tc>
          <w:tcPr>
            <w:tcW w:w="802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3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Формы туловища округлые, мускулатура развита хорошо, лопатки, поясница и бедра выполнены</w:t>
            </w:r>
          </w:p>
        </w:tc>
      </w:tr>
      <w:tr w:rsidR="00473FFE" w:rsidTr="00D52828">
        <w:trPr>
          <w:jc w:val="center"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Вторая</w:t>
            </w:r>
          </w:p>
        </w:tc>
        <w:tc>
          <w:tcPr>
            <w:tcW w:w="8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3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Формы туловища недостаточно округлые, мускулатура развита удовлетворительно, лопатки и бедра выполнены удовлетворительно, седалищные бугры и маклоки выступают</w:t>
            </w:r>
          </w:p>
        </w:tc>
      </w:tr>
    </w:tbl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>5.2.7 Молодняк крупного рогатого скота, имеющий показатели подкожных жировых отложений, превышающие требования, установленные 5.2.3 для подкласса 1 относят к жирному скоту.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5.2.8 Крупный рогатый скот, имеющий показатели ниже требований, установленных 5.2.1, 5.2.4-5.2.6, относят к тощему скоту.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5.2.9 Оценку качества говядины, телятины и молочной телятины при приемке крупного рогатого скота по количеству и качеству полученного мяса (туш), при реализации мяса в розничной торговой сети, сети общественного питания и при переработке следует осуществлять по требованиям, установленным в 5.2.10, 5.2.13-5.2.15.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5.2.10 Говядину от молодняка крупного рогатого скота подразделяют на категории в соответствии с требованиями, указанными в таблице 7.</w:t>
      </w:r>
    </w:p>
    <w:p w:rsidR="00473FFE" w:rsidRDefault="00473FFE" w:rsidP="00473FFE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7</w:t>
      </w:r>
    </w:p>
    <w:tbl>
      <w:tblPr>
        <w:tblpPr w:leftFromText="180" w:rightFromText="180" w:bottomFromText="200" w:vertAnchor="text" w:horzAnchor="margin" w:tblpX="113" w:tblpY="3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581"/>
        <w:gridCol w:w="2891"/>
        <w:gridCol w:w="1730"/>
        <w:gridCol w:w="2239"/>
      </w:tblGrid>
      <w:tr w:rsidR="00473FFE" w:rsidRPr="00636C50" w:rsidTr="00D52828">
        <w:trPr>
          <w:trHeight w:val="99"/>
        </w:trPr>
        <w:tc>
          <w:tcPr>
            <w:tcW w:w="2581" w:type="dxa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Категория</w:t>
            </w:r>
          </w:p>
        </w:tc>
        <w:tc>
          <w:tcPr>
            <w:tcW w:w="68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Требования</w:t>
            </w:r>
          </w:p>
        </w:tc>
      </w:tr>
      <w:tr w:rsidR="00473FFE" w:rsidRPr="00636C50" w:rsidTr="00D52828">
        <w:trPr>
          <w:trHeight w:val="316"/>
        </w:trPr>
        <w:tc>
          <w:tcPr>
            <w:tcW w:w="2581" w:type="dxa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rPr>
                <w:rFonts w:ascii="Arial" w:hAnsi="Arial" w:cs="Arial"/>
                <w:sz w:val="22"/>
                <w:szCs w:val="20"/>
                <w:lang w:eastAsia="en-US"/>
              </w:rPr>
            </w:pP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 xml:space="preserve">Масса парной туши </w:t>
            </w:r>
            <w:r>
              <w:rPr>
                <w:rFonts w:ascii="Arial" w:hAnsi="Arial" w:cs="Arial"/>
                <w:sz w:val="22"/>
                <w:szCs w:val="20"/>
                <w:lang w:eastAsia="en-US"/>
              </w:rPr>
              <w:br/>
            </w: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с вырезкой, кг, не менее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Класс, не ниже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Подкласс</w:t>
            </w:r>
            <w:r w:rsidRPr="009A1271">
              <w:rPr>
                <w:rFonts w:ascii="Arial" w:hAnsi="Arial" w:cs="Arial"/>
                <w:sz w:val="22"/>
                <w:szCs w:val="20"/>
                <w:lang w:eastAsia="en-US"/>
              </w:rPr>
              <w:t>, не ниже</w:t>
            </w:r>
          </w:p>
        </w:tc>
      </w:tr>
      <w:tr w:rsidR="00473FFE" w:rsidRPr="00636C50" w:rsidTr="00D52828">
        <w:trPr>
          <w:trHeight w:val="46"/>
        </w:trPr>
        <w:tc>
          <w:tcPr>
            <w:tcW w:w="258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Супер</w:t>
            </w:r>
          </w:p>
        </w:tc>
        <w:tc>
          <w:tcPr>
            <w:tcW w:w="289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315</w:t>
            </w:r>
          </w:p>
        </w:tc>
        <w:tc>
          <w:tcPr>
            <w:tcW w:w="173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А</w:t>
            </w:r>
          </w:p>
        </w:tc>
        <w:tc>
          <w:tcPr>
            <w:tcW w:w="223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1</w:t>
            </w:r>
          </w:p>
        </w:tc>
      </w:tr>
      <w:tr w:rsidR="00473FFE" w:rsidRPr="00636C50" w:rsidTr="00D52828">
        <w:trPr>
          <w:trHeight w:val="49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Прима</w:t>
            </w: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280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А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1</w:t>
            </w:r>
          </w:p>
        </w:tc>
      </w:tr>
      <w:tr w:rsidR="00473FFE" w:rsidRPr="00636C50" w:rsidTr="00D52828">
        <w:trPr>
          <w:trHeight w:val="49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Экстра</w:t>
            </w: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240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Б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1</w:t>
            </w:r>
          </w:p>
        </w:tc>
      </w:tr>
      <w:tr w:rsidR="00473FFE" w:rsidRPr="00636C50" w:rsidTr="00D52828">
        <w:trPr>
          <w:trHeight w:val="51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Отличная</w:t>
            </w: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205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Г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1</w:t>
            </w:r>
          </w:p>
        </w:tc>
      </w:tr>
      <w:tr w:rsidR="00473FFE" w:rsidRPr="00636C50" w:rsidTr="00D52828">
        <w:trPr>
          <w:trHeight w:val="51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Хорошая</w:t>
            </w: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175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Г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1</w:t>
            </w:r>
          </w:p>
        </w:tc>
      </w:tr>
      <w:tr w:rsidR="00473FFE" w:rsidRPr="00636C50" w:rsidTr="00D52828">
        <w:trPr>
          <w:trHeight w:val="51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Удовлетворительная</w:t>
            </w: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140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Д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2</w:t>
            </w:r>
          </w:p>
        </w:tc>
      </w:tr>
      <w:tr w:rsidR="00473FFE" w:rsidRPr="00636C50" w:rsidTr="00D52828">
        <w:trPr>
          <w:trHeight w:val="51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ind w:firstLine="142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Низкая</w:t>
            </w:r>
          </w:p>
        </w:tc>
        <w:tc>
          <w:tcPr>
            <w:tcW w:w="2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color w:val="000000"/>
                <w:sz w:val="22"/>
                <w:szCs w:val="20"/>
                <w:lang w:eastAsia="en-US"/>
              </w:rPr>
              <w:t>Менее 140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Д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Pr="003A5CAC" w:rsidRDefault="00473FFE" w:rsidP="00D52828">
            <w:pPr>
              <w:widowControl w:val="0"/>
              <w:jc w:val="center"/>
              <w:rPr>
                <w:rFonts w:ascii="Arial" w:hAnsi="Arial" w:cs="Arial"/>
                <w:sz w:val="22"/>
                <w:szCs w:val="20"/>
                <w:lang w:eastAsia="en-US"/>
              </w:rPr>
            </w:pPr>
            <w:r w:rsidRPr="003A5CAC">
              <w:rPr>
                <w:rFonts w:ascii="Arial" w:hAnsi="Arial" w:cs="Arial"/>
                <w:sz w:val="22"/>
                <w:szCs w:val="20"/>
                <w:lang w:eastAsia="en-US"/>
              </w:rPr>
              <w:t>2</w:t>
            </w:r>
          </w:p>
        </w:tc>
      </w:tr>
    </w:tbl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lastRenderedPageBreak/>
        <w:t>5.2.11 Оценку говядины от молодняка крупного рогатого скота по классам осуществляют в соответствии с требованиями, указанными в таблице 8.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8</w:t>
      </w:r>
    </w:p>
    <w:tbl>
      <w:tblPr>
        <w:tblW w:w="9469" w:type="dxa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822"/>
        <w:gridCol w:w="8647"/>
      </w:tblGrid>
      <w:tr w:rsidR="00473FFE" w:rsidTr="00D52828"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Класс</w:t>
            </w:r>
          </w:p>
        </w:tc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762"/>
        </w:trPr>
        <w:tc>
          <w:tcPr>
            <w:tcW w:w="822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А</w:t>
            </w:r>
          </w:p>
        </w:tc>
        <w:tc>
          <w:tcPr>
            <w:tcW w:w="8647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Туши полномясные с округлой, выпуклой и отлично развитой мускулатурой. При осмотре в профиль широкие. Тазобедренная часть туши очень широкая и ровная, нависание мышц бедра в области коленного сустава хорошо выражено, спина и поясница широкие и толстые почти до холки, остистые отростки позвонков не просматриваются; лопатки и грудь очень округлые и хорошо заполнены мышцами, перехвата за лопатками нет, лопаточная кость не просматривается из-за толстого слоя мышц (рисунок 2А)</w:t>
            </w:r>
          </w:p>
        </w:tc>
      </w:tr>
      <w:tr w:rsidR="00473FFE" w:rsidTr="00D52828">
        <w:trPr>
          <w:trHeight w:val="322"/>
        </w:trPr>
        <w:tc>
          <w:tcPr>
            <w:tcW w:w="822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</w:p>
        </w:tc>
      </w:tr>
      <w:tr w:rsidR="00473FFE" w:rsidTr="00D52828">
        <w:trPr>
          <w:trHeight w:val="1092"/>
        </w:trPr>
        <w:tc>
          <w:tcPr>
            <w:tcW w:w="822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</w:p>
        </w:tc>
      </w:tr>
      <w:tr w:rsidR="00473FFE" w:rsidTr="00D52828">
        <w:trPr>
          <w:trHeight w:val="1131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Б</w:t>
            </w:r>
          </w:p>
        </w:tc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Туши полномясные с округлой хорошо развитой мускулатурой. При осмотре в профиль средней ширины и заполненности мускулатурой. Тазобедренная часть средней ширины, ровная,  мышцы бедра в области коленного сустава заметны, но не нависают, спина и поясница средней ширины, но сужается в направлении к холке, остистые отростки позвонков не просматриваются, лопатки и грудь округлые, заполнены мышцами, перехват за лопатками не виден, лопаточная кость скрыта мышцами (рисунок 2Б)</w:t>
            </w:r>
          </w:p>
        </w:tc>
      </w:tr>
      <w:tr w:rsidR="00473FFE" w:rsidTr="00D52828">
        <w:trPr>
          <w:trHeight w:val="449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Г</w:t>
            </w:r>
          </w:p>
        </w:tc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lang w:eastAsia="en-US"/>
              </w:rPr>
              <w:t>Туши слегка округлые, слегка плоской и прямой формы, заметны впадины, незаполненные мускулатурой. Тазобедренная часть развита от среднего до удовлетворительного, слегка заметны впадины у основания хвоста, седалищные бугры и маклоки заметно выступают, но не острые, спина и поясница умеренной ширины, заметно сужаются примерно с середины спины к холке. Остистые отростки позвонков и ребра заметны, лопатки и грудь развиты от средней округлости до плоских форм, грудь узковата. Суставы заметно выступают (рисунок 2Г)</w:t>
            </w:r>
          </w:p>
        </w:tc>
      </w:tr>
      <w:tr w:rsidR="00473FFE" w:rsidTr="00D52828">
        <w:trPr>
          <w:trHeight w:val="449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Д</w:t>
            </w:r>
          </w:p>
        </w:tc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sz w:val="22"/>
                <w:lang w:eastAsia="en-US"/>
              </w:rPr>
            </w:pPr>
            <w:r>
              <w:rPr>
                <w:rFonts w:ascii="Arial" w:hAnsi="Arial" w:cs="Arial"/>
                <w:sz w:val="22"/>
                <w:lang w:eastAsia="en-US"/>
              </w:rPr>
              <w:t>Туши низкого качества, имеют плоские формы, при осмотре в профиль узкие, мускулатура развита слабо. Тазобедренная часть узкая, слабо обмускуленная, кости зада покрыты тонким слоем мускулатуры, четко выражены впадины у основания хвоста, седалищные бугры и маклоки острые, спина и поясница плоские, плохо обмускулены, лопаточная кость заметно выступает, четко обозначены остистые отростки позвонков и ребра, грудь узкая, холка острая, формы плоские, кости скелета четко просматриваются через тонкий слой мускулатуры (рисунок 2Д)</w:t>
            </w:r>
          </w:p>
        </w:tc>
      </w:tr>
    </w:tbl>
    <w:p w:rsidR="00473FFE" w:rsidRDefault="00473FFE" w:rsidP="00473FFE">
      <w:pPr>
        <w:spacing w:after="200" w:line="276" w:lineRule="auto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br w:type="page"/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365"/>
        <w:gridCol w:w="2366"/>
        <w:gridCol w:w="2366"/>
        <w:gridCol w:w="2366"/>
      </w:tblGrid>
      <w:tr w:rsidR="00473FFE" w:rsidTr="00D52828">
        <w:trPr>
          <w:trHeight w:val="4960"/>
        </w:trPr>
        <w:tc>
          <w:tcPr>
            <w:tcW w:w="2365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C3EEDD0" wp14:editId="55360992">
                  <wp:extent cx="1371600" cy="3444240"/>
                  <wp:effectExtent l="0" t="0" r="0" b="3810"/>
                  <wp:docPr id="8" name="Рисунок 8" descr="Untitled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Untitled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344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color w:val="000000"/>
                <w:sz w:val="28"/>
                <w:szCs w:val="28"/>
                <w:lang w:val="en-US" w:eastAsia="en-US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51A0B0C" wp14:editId="23267925">
                  <wp:extent cx="1386840" cy="3429000"/>
                  <wp:effectExtent l="0" t="0" r="3810" b="0"/>
                  <wp:docPr id="7" name="Рисунок 7" descr="Untitle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Untitle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602333F" wp14:editId="6D74B134">
                  <wp:extent cx="1386840" cy="3444240"/>
                  <wp:effectExtent l="0" t="0" r="3810" b="3810"/>
                  <wp:docPr id="6" name="Рисунок 6" descr="Untitled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Untitled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344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0BF165F" wp14:editId="2DCA055E">
                  <wp:extent cx="1386840" cy="3429000"/>
                  <wp:effectExtent l="0" t="0" r="3810" b="0"/>
                  <wp:docPr id="5" name="Рисунок 5" descr="Untitled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Untitled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FFE" w:rsidTr="00D52828">
        <w:trPr>
          <w:trHeight w:val="4342"/>
        </w:trPr>
        <w:tc>
          <w:tcPr>
            <w:tcW w:w="2365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object w:dxaOrig="2196" w:dyaOrig="52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08.8pt;height:261.95pt" o:ole="">
                  <v:imagedata r:id="rId22" o:title="" cropleft="6687f" cropright="8025f" chromakey="#f8f9fd"/>
                </v:shape>
                <o:OLEObject Type="Embed" ProgID="MSPhotoEd.3" ShapeID="_x0000_i1026" DrawAspect="Content" ObjectID="_1550102806" r:id="rId23"/>
              </w:object>
            </w:r>
          </w:p>
        </w:tc>
        <w:tc>
          <w:tcPr>
            <w:tcW w:w="236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object w:dxaOrig="1872" w:dyaOrig="5388">
                <v:shape id="_x0000_i1027" type="#_x0000_t75" style="width:93.8pt;height:269.65pt" o:ole="">
                  <v:imagedata r:id="rId24" o:title="" cropright="9370f" chromakey="#e9edf9" blacklevel="1311f"/>
                </v:shape>
                <o:OLEObject Type="Embed" ProgID="MSPhotoEd.3" ShapeID="_x0000_i1027" DrawAspect="Content" ObjectID="_1550102807" r:id="rId25"/>
              </w:object>
            </w:r>
          </w:p>
        </w:tc>
        <w:tc>
          <w:tcPr>
            <w:tcW w:w="236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rPr>
                <w:noProof/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object w:dxaOrig="2040" w:dyaOrig="5280">
                <v:shape id="_x0000_i1028" type="#_x0000_t75" style="width:102.1pt;height:263.75pt" o:ole="">
                  <v:imagedata r:id="rId26" o:title="" croptop="3411f" cropright="15448f"/>
                </v:shape>
                <o:OLEObject Type="Embed" ProgID="MSPhotoEd.3" ShapeID="_x0000_i1028" DrawAspect="Content" ObjectID="_1550102808" r:id="rId27"/>
              </w:object>
            </w:r>
          </w:p>
        </w:tc>
        <w:tc>
          <w:tcPr>
            <w:tcW w:w="236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rPr>
                <w:noProof/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object w:dxaOrig="1848" w:dyaOrig="5304">
                <v:shape id="_x0000_i1029" type="#_x0000_t75" style="width:91.3pt;height:265.45pt" o:ole="">
                  <v:imagedata r:id="rId28" o:title="" croptop="2922f" cropright="13107f"/>
                </v:shape>
                <o:OLEObject Type="Embed" ProgID="MSPhotoEd.3" ShapeID="_x0000_i1029" DrawAspect="Content" ObjectID="_1550102809" r:id="rId29"/>
              </w:object>
            </w:r>
          </w:p>
        </w:tc>
      </w:tr>
      <w:tr w:rsidR="00473FFE" w:rsidTr="00D52828">
        <w:tc>
          <w:tcPr>
            <w:tcW w:w="2365" w:type="dxa"/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А</w:t>
            </w:r>
          </w:p>
        </w:tc>
        <w:tc>
          <w:tcPr>
            <w:tcW w:w="2366" w:type="dxa"/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Б</w:t>
            </w:r>
          </w:p>
        </w:tc>
        <w:tc>
          <w:tcPr>
            <w:tcW w:w="2366" w:type="dxa"/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Г</w:t>
            </w:r>
          </w:p>
        </w:tc>
        <w:tc>
          <w:tcPr>
            <w:tcW w:w="2366" w:type="dxa"/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lang w:eastAsia="en-US"/>
              </w:rPr>
              <w:t>Д</w:t>
            </w:r>
          </w:p>
        </w:tc>
      </w:tr>
    </w:tbl>
    <w:p w:rsidR="00473FFE" w:rsidRDefault="00473FFE" w:rsidP="00473FFE">
      <w:pPr>
        <w:widowControl w:val="0"/>
        <w:spacing w:before="240"/>
        <w:jc w:val="center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Рисунок 2 — Форма и полномясность туш</w:t>
      </w:r>
      <w:r>
        <w:rPr>
          <w:rFonts w:ascii="Arial" w:hAnsi="Arial" w:cs="Arial"/>
          <w:bCs/>
          <w:color w:val="000000"/>
          <w:sz w:val="22"/>
          <w:szCs w:val="28"/>
        </w:rPr>
        <w:t xml:space="preserve"> по классам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before="240" w:line="360" w:lineRule="auto"/>
        <w:ind w:firstLine="709"/>
        <w:jc w:val="both"/>
        <w:rPr>
          <w:rFonts w:ascii="Arial" w:hAnsi="Arial" w:cs="Arial"/>
          <w:bCs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5.2.12 Оценку говядины от молодняка крупного рогатого скота по подклассам осу</w:t>
      </w:r>
      <w:r>
        <w:rPr>
          <w:rFonts w:ascii="Arial" w:hAnsi="Arial" w:cs="Arial"/>
          <w:bCs/>
          <w:color w:val="000000"/>
          <w:szCs w:val="28"/>
        </w:rPr>
        <w:t xml:space="preserve">ществляют в соответствии с </w:t>
      </w:r>
      <w:r>
        <w:rPr>
          <w:rFonts w:ascii="Arial" w:hAnsi="Arial" w:cs="Arial"/>
          <w:color w:val="000000"/>
          <w:szCs w:val="28"/>
        </w:rPr>
        <w:t>требованиями, указанными в таблице 9</w:t>
      </w:r>
      <w:r>
        <w:rPr>
          <w:rFonts w:ascii="Arial" w:hAnsi="Arial" w:cs="Arial"/>
          <w:bCs/>
          <w:color w:val="000000"/>
          <w:szCs w:val="28"/>
        </w:rPr>
        <w:t>.</w:t>
      </w:r>
      <w:r>
        <w:rPr>
          <w:rFonts w:ascii="Arial" w:hAnsi="Arial" w:cs="Arial"/>
          <w:bCs/>
          <w:color w:val="000000"/>
          <w:szCs w:val="28"/>
        </w:rPr>
        <w:br w:type="page"/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lastRenderedPageBreak/>
        <w:t>Т а б л и ц а  9</w:t>
      </w:r>
    </w:p>
    <w:tbl>
      <w:tblPr>
        <w:tblW w:w="9528" w:type="dxa"/>
        <w:tblInd w:w="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1187"/>
        <w:gridCol w:w="2694"/>
        <w:gridCol w:w="2103"/>
        <w:gridCol w:w="3544"/>
      </w:tblGrid>
      <w:tr w:rsidR="00473FFE" w:rsidTr="00D52828"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Подкласс</w:t>
            </w:r>
          </w:p>
        </w:tc>
        <w:tc>
          <w:tcPr>
            <w:tcW w:w="4797" w:type="dxa"/>
            <w:gridSpan w:val="2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Характеристика, не ниже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 xml:space="preserve">Толщина жира на спине в области 10-12 ребер, </w:t>
            </w: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br/>
              <w:t>см, не выше</w:t>
            </w:r>
          </w:p>
        </w:tc>
      </w:tr>
      <w:tr w:rsidR="00473FFE" w:rsidTr="00D52828">
        <w:trPr>
          <w:trHeight w:val="5107"/>
        </w:trPr>
        <w:tc>
          <w:tcPr>
            <w:tcW w:w="1186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694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object w:dxaOrig="3732" w:dyaOrig="5436">
                <v:shape id="_x0000_i1030" type="#_x0000_t75" style="width:186.8pt;height:272.05pt" o:ole="">
                  <v:imagedata r:id="rId30" o:title=""/>
                </v:shape>
                <o:OLEObject Type="Embed" ProgID="PBrush" ShapeID="_x0000_i1030" DrawAspect="Content" ObjectID="_1550102810" r:id="rId31"/>
              </w:object>
            </w:r>
          </w:p>
        </w:tc>
        <w:tc>
          <w:tcPr>
            <w:tcW w:w="2103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pStyle w:val="a8"/>
              <w:widowControl w:val="0"/>
              <w:spacing w:line="360" w:lineRule="auto"/>
              <w:ind w:firstLine="284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Мышцы, за исключением лопаток и выпуклостей зада, покрыты тонким слоем жира. Имеется слабо выраженный жировой «полив» у основания хвоста и на верхней внутренней стороне бедер</w:t>
            </w:r>
          </w:p>
        </w:tc>
        <w:tc>
          <w:tcPr>
            <w:tcW w:w="3544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pStyle w:val="a8"/>
              <w:widowControl w:val="0"/>
              <w:spacing w:line="360" w:lineRule="auto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0,5</w:t>
            </w:r>
          </w:p>
        </w:tc>
      </w:tr>
      <w:tr w:rsidR="00473FFE" w:rsidTr="00D52828">
        <w:trPr>
          <w:trHeight w:val="5149"/>
        </w:trPr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noProof/>
                <w:color w:val="000000"/>
                <w:sz w:val="22"/>
                <w:szCs w:val="22"/>
              </w:rPr>
              <w:drawing>
                <wp:inline distT="0" distB="0" distL="0" distR="0" wp14:anchorId="3A3CAC3C" wp14:editId="44A83F68">
                  <wp:extent cx="1562100" cy="3444240"/>
                  <wp:effectExtent l="0" t="0" r="0" b="3810"/>
                  <wp:docPr id="4" name="Рисунок 4" descr="бычки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ычки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05" t="10001" r="60835" b="2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344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Жирового полива нет или он очень слабо выражен на некоторых частях туши, мышцы просматриваются почти везде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—</w:t>
            </w:r>
          </w:p>
        </w:tc>
      </w:tr>
    </w:tbl>
    <w:p w:rsidR="00473FFE" w:rsidRDefault="00473FFE" w:rsidP="00473FFE">
      <w:pPr>
        <w:widowControl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5.2.13 Говядину от взрослого крупного рогатого скота подразделяют на категории в соответствии с требованиями, указанными в таблице 10.</w:t>
      </w:r>
    </w:p>
    <w:p w:rsidR="00473FFE" w:rsidRDefault="00473FFE" w:rsidP="00473FFE">
      <w:pPr>
        <w:spacing w:after="200" w:line="276" w:lineRule="auto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br w:type="page"/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lastRenderedPageBreak/>
        <w:t>Т а б л и ц а  10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271"/>
        <w:gridCol w:w="8283"/>
      </w:tblGrid>
      <w:tr w:rsidR="00473FFE" w:rsidTr="00D52828">
        <w:trPr>
          <w:trHeight w:val="5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Категория</w:t>
            </w:r>
          </w:p>
        </w:tc>
        <w:tc>
          <w:tcPr>
            <w:tcW w:w="83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180"/>
          <w:jc w:val="center"/>
        </w:trPr>
        <w:tc>
          <w:tcPr>
            <w:tcW w:w="9571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Коровы</w:t>
            </w:r>
          </w:p>
        </w:tc>
      </w:tr>
      <w:tr w:rsidR="00473FFE" w:rsidTr="00D52828">
        <w:trPr>
          <w:trHeight w:val="528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6"/>
              <w:spacing w:line="360" w:lineRule="auto"/>
              <w:jc w:val="center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Первая</w:t>
            </w:r>
          </w:p>
        </w:tc>
        <w:tc>
          <w:tcPr>
            <w:tcW w:w="8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5"/>
              <w:spacing w:line="360" w:lineRule="auto"/>
              <w:ind w:firstLine="284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Мышцы развиты удовлетворительно, остистые отростки спинных и поясничных позвонков, седалищные бугры, маклоки выделяются не резко; подкожный жир покрывает тушу от восьмого ребра к седалищным буграм, допускаются значительные просветы; шея, лопатки, передние ребра и бедра, тазовая полость и область паха имеют отложения жира в виде небольших участков</w:t>
            </w:r>
          </w:p>
        </w:tc>
      </w:tr>
      <w:tr w:rsidR="00473FFE" w:rsidTr="00D52828">
        <w:trPr>
          <w:trHeight w:val="180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6"/>
              <w:spacing w:line="360" w:lineRule="auto"/>
              <w:jc w:val="center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Вторая</w:t>
            </w:r>
          </w:p>
        </w:tc>
        <w:tc>
          <w:tcPr>
            <w:tcW w:w="8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5"/>
              <w:spacing w:line="360" w:lineRule="auto"/>
              <w:ind w:firstLine="284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 xml:space="preserve">Мышцы развиты </w:t>
            </w:r>
            <w:r>
              <w:rPr>
                <w:rStyle w:val="FontStyle13"/>
                <w:rFonts w:ascii="Arial" w:hAnsi="Arial" w:cs="Arial"/>
                <w:sz w:val="22"/>
                <w:szCs w:val="28"/>
                <w:lang w:eastAsia="en-US"/>
              </w:rPr>
              <w:t xml:space="preserve">менее </w:t>
            </w: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удовлетворительно (бедра имеют впадины), остистые отростки позвонков, седалищные бугры и маклоки выступают, подкожный жир имеется в виде небольших участков в области седалищных бугров, поясницы и последних ребер</w:t>
            </w:r>
          </w:p>
        </w:tc>
      </w:tr>
      <w:tr w:rsidR="00473FFE" w:rsidTr="00D52828">
        <w:trPr>
          <w:trHeight w:val="225"/>
          <w:jc w:val="center"/>
        </w:trPr>
        <w:tc>
          <w:tcPr>
            <w:tcW w:w="95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pacing w:val="2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pacing w:val="20"/>
                <w:sz w:val="22"/>
                <w:szCs w:val="28"/>
                <w:lang w:eastAsia="en-US"/>
              </w:rPr>
              <w:t>Быки</w:t>
            </w:r>
          </w:p>
        </w:tc>
      </w:tr>
      <w:tr w:rsidR="00473FFE" w:rsidTr="00D52828">
        <w:trPr>
          <w:trHeight w:val="259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6"/>
              <w:spacing w:line="360" w:lineRule="auto"/>
              <w:jc w:val="center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Первая</w:t>
            </w:r>
          </w:p>
        </w:tc>
        <w:tc>
          <w:tcPr>
            <w:tcW w:w="8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5"/>
              <w:spacing w:line="360" w:lineRule="auto"/>
              <w:ind w:firstLine="284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Мышцы развиты хорошо, лопаточно-шейная и тазобедренная части выпуклые, остистые отростки позвонков не выступают</w:t>
            </w:r>
          </w:p>
        </w:tc>
      </w:tr>
      <w:tr w:rsidR="00473FFE" w:rsidTr="00D52828">
        <w:trPr>
          <w:trHeight w:val="271"/>
          <w:jc w:val="center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6"/>
              <w:spacing w:line="360" w:lineRule="auto"/>
              <w:jc w:val="center"/>
              <w:rPr>
                <w:rStyle w:val="FontStyle12"/>
                <w:rFonts w:ascii="Arial" w:hAnsi="Arial" w:cs="Arial"/>
                <w:b w:val="0"/>
                <w:color w:val="000000"/>
                <w:sz w:val="22"/>
                <w:szCs w:val="28"/>
              </w:rPr>
            </w:pPr>
            <w:r>
              <w:rPr>
                <w:rStyle w:val="FontStyle12"/>
                <w:rFonts w:ascii="Arial" w:hAnsi="Arial" w:cs="Arial"/>
                <w:b w:val="0"/>
                <w:color w:val="000000"/>
                <w:sz w:val="22"/>
                <w:szCs w:val="28"/>
                <w:lang w:eastAsia="en-US"/>
              </w:rPr>
              <w:t>Вторая</w:t>
            </w:r>
          </w:p>
        </w:tc>
        <w:tc>
          <w:tcPr>
            <w:tcW w:w="8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Style5"/>
              <w:spacing w:line="360" w:lineRule="auto"/>
              <w:ind w:firstLine="284"/>
              <w:rPr>
                <w:rStyle w:val="FontStyle13"/>
                <w:rFonts w:ascii="Arial" w:hAnsi="Arial" w:cs="Arial"/>
                <w:color w:val="000000"/>
                <w:sz w:val="22"/>
                <w:szCs w:val="28"/>
              </w:rPr>
            </w:pPr>
            <w:r>
              <w:rPr>
                <w:rStyle w:val="FontStyle13"/>
                <w:rFonts w:ascii="Arial" w:hAnsi="Arial" w:cs="Arial"/>
                <w:color w:val="000000"/>
                <w:sz w:val="22"/>
                <w:szCs w:val="28"/>
                <w:lang w:eastAsia="en-US"/>
              </w:rPr>
              <w:t>Мышцы развиты удовлетворительно, лопаточно-шейная и тазобедренная части недостаточно выполнены, лопатки и маклоки выступают</w:t>
            </w:r>
          </w:p>
        </w:tc>
      </w:tr>
    </w:tbl>
    <w:p w:rsidR="00473FFE" w:rsidRDefault="00473FFE" w:rsidP="00473FFE">
      <w:pPr>
        <w:spacing w:before="240" w:line="36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5.2.14 Молочную телятину подразделяют на категории в соответствии с требованиями, указанными в таблице 11.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11</w:t>
      </w:r>
    </w:p>
    <w:tbl>
      <w:tblPr>
        <w:tblW w:w="97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1362"/>
        <w:gridCol w:w="2411"/>
        <w:gridCol w:w="5971"/>
      </w:tblGrid>
      <w:tr w:rsidR="00473FFE" w:rsidTr="00D52828">
        <w:tc>
          <w:tcPr>
            <w:tcW w:w="136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Категория</w:t>
            </w:r>
          </w:p>
        </w:tc>
        <w:tc>
          <w:tcPr>
            <w:tcW w:w="8379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5074"/>
        </w:trPr>
        <w:tc>
          <w:tcPr>
            <w:tcW w:w="1361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Первая</w:t>
            </w:r>
          </w:p>
        </w:tc>
        <w:tc>
          <w:tcPr>
            <w:tcW w:w="2410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object w:dxaOrig="2100" w:dyaOrig="5244">
                <v:shape id="_x0000_i1031" type="#_x0000_t75" style="width:104.7pt;height:261.95pt" o:ole="">
                  <v:imagedata r:id="rId33" o:title=""/>
                </v:shape>
                <o:OLEObject Type="Embed" ProgID="PBrush" ShapeID="_x0000_i1031" DrawAspect="Content" ObjectID="_1550102811" r:id="rId34"/>
              </w:object>
            </w:r>
          </w:p>
        </w:tc>
        <w:tc>
          <w:tcPr>
            <w:tcW w:w="5969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Формы туловища округлые, бедра выполнены, мускулатура развита хорошо, остистые отростки позвонков не выступают. Цвет мяса от розово-молочного до светло-розового. Отложения жира имеются в области почек и тазовой полости, на ребрах и местами на бедрах</w:t>
            </w:r>
          </w:p>
        </w:tc>
      </w:tr>
    </w:tbl>
    <w:p w:rsidR="00473FFE" w:rsidRDefault="00473FFE" w:rsidP="00473FFE">
      <w:pPr>
        <w:spacing w:after="200" w:line="276" w:lineRule="auto"/>
      </w:pPr>
      <w:r>
        <w:br w:type="page"/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rPr>
          <w:rFonts w:ascii="Arial" w:hAnsi="Arial" w:cs="Arial"/>
          <w:i/>
          <w:color w:val="000000"/>
          <w:sz w:val="22"/>
          <w:szCs w:val="28"/>
        </w:rPr>
      </w:pPr>
      <w:r>
        <w:rPr>
          <w:rFonts w:ascii="Arial" w:hAnsi="Arial" w:cs="Arial"/>
          <w:i/>
          <w:color w:val="000000"/>
          <w:sz w:val="22"/>
          <w:szCs w:val="28"/>
        </w:rPr>
        <w:lastRenderedPageBreak/>
        <w:t>Окончание таблицы  11</w:t>
      </w:r>
    </w:p>
    <w:tbl>
      <w:tblPr>
        <w:tblW w:w="97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1362"/>
        <w:gridCol w:w="2411"/>
        <w:gridCol w:w="5971"/>
      </w:tblGrid>
      <w:tr w:rsidR="00473FFE" w:rsidTr="00D52828">
        <w:trPr>
          <w:trHeight w:val="102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Категория</w:t>
            </w:r>
          </w:p>
        </w:tc>
        <w:tc>
          <w:tcPr>
            <w:tcW w:w="8379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5161"/>
        </w:trPr>
        <w:tc>
          <w:tcPr>
            <w:tcW w:w="136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Вторая</w:t>
            </w:r>
          </w:p>
        </w:tc>
        <w:tc>
          <w:tcPr>
            <w:tcW w:w="241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tabs>
                <w:tab w:val="center" w:pos="4153"/>
                <w:tab w:val="right" w:pos="8306"/>
              </w:tabs>
              <w:spacing w:line="276" w:lineRule="auto"/>
              <w:jc w:val="center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object w:dxaOrig="2184" w:dyaOrig="5268">
                <v:shape id="_x0000_i1032" type="#_x0000_t75" style="width:109.65pt;height:262.85pt" o:ole="">
                  <v:imagedata r:id="rId35" o:title=""/>
                </v:shape>
                <o:OLEObject Type="Embed" ProgID="MSPhotoEd.3" ShapeID="_x0000_i1032" DrawAspect="Content" ObjectID="_1550102812" r:id="rId36"/>
              </w:object>
            </w:r>
          </w:p>
        </w:tc>
        <w:tc>
          <w:tcPr>
            <w:tcW w:w="596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Формы туловища угловатые, мускулатура развита удовлетворительно, остистые отростки позвонков слегка выступают. Цвет мяса светло-розовый. Жировые отложения незначительные, имеются местами в области почек и тазовой полости, на пояснично-крестцовой части</w:t>
            </w:r>
          </w:p>
        </w:tc>
      </w:tr>
    </w:tbl>
    <w:p w:rsidR="00473FFE" w:rsidRDefault="00473FFE" w:rsidP="00473FFE">
      <w:pPr>
        <w:widowControl w:val="0"/>
        <w:spacing w:before="240" w:line="360" w:lineRule="auto"/>
        <w:ind w:firstLine="709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5.2.15 Телятину подразделяют на категории в соответствии с требованиями, указанными в таблице 12.</w:t>
      </w:r>
    </w:p>
    <w:p w:rsidR="00473FFE" w:rsidRDefault="00473FFE" w:rsidP="00473FFE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8"/>
        </w:rPr>
      </w:pPr>
      <w:r>
        <w:rPr>
          <w:rFonts w:ascii="Arial" w:hAnsi="Arial" w:cs="Arial"/>
          <w:color w:val="000000"/>
          <w:sz w:val="22"/>
          <w:szCs w:val="28"/>
        </w:rPr>
        <w:t>Т а б л и ц а  12</w:t>
      </w:r>
    </w:p>
    <w:tbl>
      <w:tblPr>
        <w:tblW w:w="9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1332"/>
        <w:gridCol w:w="2269"/>
        <w:gridCol w:w="6143"/>
      </w:tblGrid>
      <w:tr w:rsidR="00473FFE" w:rsidTr="00D52828"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Категория</w:t>
            </w:r>
          </w:p>
        </w:tc>
        <w:tc>
          <w:tcPr>
            <w:tcW w:w="8408" w:type="dxa"/>
            <w:gridSpan w:val="2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5434"/>
        </w:trPr>
        <w:tc>
          <w:tcPr>
            <w:tcW w:w="1332" w:type="dxa"/>
            <w:tcBorders>
              <w:top w:val="double" w:sz="4" w:space="0" w:color="auto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Первая</w:t>
            </w:r>
          </w:p>
        </w:tc>
        <w:tc>
          <w:tcPr>
            <w:tcW w:w="2268" w:type="dxa"/>
            <w:tcBorders>
              <w:top w:val="double" w:sz="4" w:space="0" w:color="auto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object w:dxaOrig="2040" w:dyaOrig="5436">
                <v:shape id="_x0000_i1033" type="#_x0000_t75" style="width:102.1pt;height:272.05pt" o:ole="">
                  <v:imagedata r:id="rId37" o:title=""/>
                </v:shape>
                <o:OLEObject Type="Embed" ProgID="MSPhotoEd.3" ShapeID="_x0000_i1033" DrawAspect="Content" ObjectID="_1550102813" r:id="rId38"/>
              </w:object>
            </w:r>
          </w:p>
        </w:tc>
        <w:tc>
          <w:tcPr>
            <w:tcW w:w="6140" w:type="dxa"/>
            <w:tcBorders>
              <w:top w:val="double" w:sz="4" w:space="0" w:color="auto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Формы туловища округлые, мускулатура развита очень хорошо, остистые отростки позвонков, лопатки и другие кости тела не просматриваются. Цвет мяса светло-розовый, жировой полив тонкий и прерывистый, четкие отложения жира имеются в области почек и тазовой полости, на ребрах и местами на бедрах</w:t>
            </w:r>
          </w:p>
        </w:tc>
      </w:tr>
    </w:tbl>
    <w:p w:rsidR="00473FFE" w:rsidRDefault="00473FFE" w:rsidP="00473FFE">
      <w:pPr>
        <w:spacing w:after="200" w:line="276" w:lineRule="auto"/>
      </w:pPr>
      <w:r>
        <w:br w:type="page"/>
      </w:r>
    </w:p>
    <w:p w:rsidR="00473FFE" w:rsidRDefault="00473FFE" w:rsidP="00473FFE">
      <w:pPr>
        <w:rPr>
          <w:rFonts w:ascii="Arial" w:hAnsi="Arial" w:cs="Arial"/>
          <w:i/>
          <w:sz w:val="22"/>
        </w:rPr>
      </w:pPr>
      <w:r>
        <w:rPr>
          <w:rFonts w:ascii="Arial" w:hAnsi="Arial" w:cs="Arial"/>
          <w:i/>
          <w:sz w:val="22"/>
        </w:rPr>
        <w:lastRenderedPageBreak/>
        <w:t>Окончание таблицы  12</w:t>
      </w:r>
    </w:p>
    <w:tbl>
      <w:tblPr>
        <w:tblW w:w="97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1332"/>
        <w:gridCol w:w="2269"/>
        <w:gridCol w:w="6143"/>
      </w:tblGrid>
      <w:tr w:rsidR="00473FFE" w:rsidTr="00D52828">
        <w:trPr>
          <w:trHeight w:val="131"/>
        </w:trPr>
        <w:tc>
          <w:tcPr>
            <w:tcW w:w="1332" w:type="dxa"/>
            <w:tcBorders>
              <w:top w:val="single" w:sz="6" w:space="0" w:color="auto"/>
              <w:left w:val="single" w:sz="4" w:space="0" w:color="000000"/>
              <w:bottom w:val="double" w:sz="4" w:space="0" w:color="auto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Категория</w:t>
            </w:r>
          </w:p>
        </w:tc>
        <w:tc>
          <w:tcPr>
            <w:tcW w:w="8408" w:type="dxa"/>
            <w:gridSpan w:val="2"/>
            <w:tcBorders>
              <w:top w:val="single" w:sz="6" w:space="0" w:color="auto"/>
              <w:left w:val="single" w:sz="4" w:space="0" w:color="000000"/>
              <w:bottom w:val="double" w:sz="4" w:space="0" w:color="auto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Характеристика, не ниже</w:t>
            </w:r>
          </w:p>
        </w:tc>
      </w:tr>
      <w:tr w:rsidR="00473FFE" w:rsidTr="00D52828">
        <w:trPr>
          <w:trHeight w:val="5570"/>
        </w:trPr>
        <w:tc>
          <w:tcPr>
            <w:tcW w:w="1332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 xml:space="preserve">Вторая </w:t>
            </w:r>
          </w:p>
        </w:tc>
        <w:tc>
          <w:tcPr>
            <w:tcW w:w="2268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object w:dxaOrig="3684" w:dyaOrig="5448">
                <v:shape id="_x0000_i1034" type="#_x0000_t75" style="width:184.2pt;height:271.3pt" o:ole="">
                  <v:imagedata r:id="rId39" o:title=""/>
                </v:shape>
                <o:OLEObject Type="Embed" ProgID="PBrush" ShapeID="_x0000_i1034" DrawAspect="Content" ObjectID="_1550102814" r:id="rId40"/>
              </w:object>
            </w:r>
          </w:p>
        </w:tc>
        <w:tc>
          <w:tcPr>
            <w:tcW w:w="6140" w:type="dxa"/>
            <w:tcBorders>
              <w:top w:val="doub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FFE" w:rsidRDefault="00473FFE" w:rsidP="00D52828">
            <w:pPr>
              <w:widowControl w:val="0"/>
              <w:spacing w:line="360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Формы туловища угловатые, мускулатура развита удовлетворительно, остистые отростки позвонков, лопатки, маклоки и другие кости тела заметны. Цвет мяса светло-розовый. Жировой полив почти отсутствует, имеются небольшие отложения жира  в области почек и тазовой полости, а также местами на пояснично-крестцовой части</w:t>
            </w:r>
          </w:p>
        </w:tc>
      </w:tr>
    </w:tbl>
    <w:p w:rsidR="00473FFE" w:rsidRDefault="00473FFE" w:rsidP="00473FFE">
      <w:pPr>
        <w:widowControl w:val="0"/>
        <w:spacing w:before="240" w:line="360" w:lineRule="auto"/>
        <w:ind w:firstLine="720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 w:cs="Arial"/>
          <w:noProof/>
          <w:szCs w:val="28"/>
        </w:rPr>
        <w:t>5.2.16 Говядину от молодняка крупного рогатого скота, имеющую показатели жировых отложений выше установленных 5.2.12 для подкласса 1 относят к жирной.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5.2.17 Говядину, телятину и молочную телятину, имеющие показатели ниже требований 5.2.10, 5.2.13-5.2.15, относят к тощим.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 w:rsidRPr="00245DDC">
        <w:rPr>
          <w:rFonts w:ascii="Arial" w:hAnsi="Arial" w:cs="Arial"/>
          <w:noProof/>
          <w:color w:val="000000"/>
          <w:szCs w:val="28"/>
        </w:rPr>
        <w:t>5.2.18 Говядину и телятину реализуют в виде продольных полутуш или четвертин с вырезкой (внутренней пояснично-подвздошной мышцей) или без не</w:t>
      </w:r>
      <w:r>
        <w:rPr>
          <w:rFonts w:ascii="Arial" w:hAnsi="Arial" w:cs="Arial"/>
          <w:noProof/>
          <w:color w:val="000000"/>
          <w:szCs w:val="28"/>
        </w:rPr>
        <w:t>е</w:t>
      </w:r>
      <w:r w:rsidRPr="00245DDC">
        <w:rPr>
          <w:rFonts w:ascii="Arial" w:hAnsi="Arial" w:cs="Arial"/>
          <w:noProof/>
          <w:color w:val="000000"/>
          <w:szCs w:val="28"/>
        </w:rPr>
        <w:t>.</w:t>
      </w:r>
      <w:r>
        <w:rPr>
          <w:rFonts w:ascii="Arial" w:hAnsi="Arial" w:cs="Arial"/>
          <w:noProof/>
          <w:color w:val="000000"/>
          <w:szCs w:val="28"/>
        </w:rPr>
        <w:t xml:space="preserve"> В сопроводительных документах указывают условия</w:t>
      </w:r>
      <w:r w:rsidRPr="00245DDC">
        <w:rPr>
          <w:rFonts w:ascii="Arial" w:hAnsi="Arial" w:cs="Arial"/>
          <w:noProof/>
          <w:color w:val="000000"/>
          <w:szCs w:val="28"/>
        </w:rPr>
        <w:t xml:space="preserve"> </w:t>
      </w:r>
      <w:r w:rsidRPr="00245DDC">
        <w:rPr>
          <w:rFonts w:ascii="Arial" w:hAnsi="Arial" w:cs="Arial"/>
          <w:noProof/>
          <w:szCs w:val="28"/>
        </w:rPr>
        <w:t xml:space="preserve">реализации – с вырезкой или </w:t>
      </w:r>
      <w:r>
        <w:rPr>
          <w:rFonts w:ascii="Arial" w:hAnsi="Arial" w:cs="Arial"/>
          <w:noProof/>
          <w:color w:val="000000"/>
          <w:szCs w:val="28"/>
        </w:rPr>
        <w:t>без нее.</w:t>
      </w:r>
    </w:p>
    <w:p w:rsidR="00473FFE" w:rsidRPr="00245DDC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5.2.</w:t>
      </w:r>
      <w:r w:rsidRPr="00245DDC">
        <w:rPr>
          <w:rFonts w:ascii="Arial" w:hAnsi="Arial" w:cs="Arial"/>
          <w:noProof/>
          <w:szCs w:val="28"/>
        </w:rPr>
        <w:t>19 Молочную телятину реализуют целыми тушами или в виде продольных полутуш, оставляя вырезку, почки, околопочечный и тазовый жир и зобную железу.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 w:rsidRPr="00245DDC">
        <w:rPr>
          <w:rFonts w:ascii="Arial" w:hAnsi="Arial" w:cs="Arial"/>
          <w:noProof/>
          <w:szCs w:val="28"/>
        </w:rPr>
        <w:t>5.2.20 Туши говядины</w:t>
      </w:r>
      <w:r>
        <w:rPr>
          <w:rFonts w:ascii="Arial" w:hAnsi="Arial" w:cs="Arial"/>
          <w:noProof/>
          <w:color w:val="000000"/>
          <w:szCs w:val="28"/>
        </w:rPr>
        <w:t>, телятины и молочной телятины должны быть разделены на полутуши по позвоночному столбу, без оставления целых тел позвонков и без их дробления. Спинной мозг должен быть удален.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Разделение полутуш говядины и телятины на четвертины проводят по заднему краю тринадцатого ребра и соответствующему грудному позвонку.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Допускается разделение полутуш говядины и телятины на четвертины между двенадцатым и тринадцатым ребрами.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lastRenderedPageBreak/>
        <w:t>5.2.21 По органолептическим показателям мясо должно быть свежим, без постороннего запаха. Поверхность туш, полутуш и четвертин от розового до темно-бордового цвета для говядины; от розово-молочного до розового цвета для телятины</w:t>
      </w:r>
      <w:r w:rsidRPr="0048268A">
        <w:rPr>
          <w:rFonts w:ascii="Arial" w:hAnsi="Arial" w:cs="Arial"/>
          <w:noProof/>
          <w:color w:val="000000"/>
          <w:szCs w:val="28"/>
        </w:rPr>
        <w:t xml:space="preserve"> </w:t>
      </w:r>
      <w:r>
        <w:rPr>
          <w:rFonts w:ascii="Arial" w:hAnsi="Arial" w:cs="Arial"/>
          <w:noProof/>
          <w:color w:val="000000"/>
          <w:szCs w:val="28"/>
        </w:rPr>
        <w:t>и молочной телятины; жир белый — для телятины и молочной телятины; белый, желтоватый или желтый — для говядины.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На тушах, полутушах и четвертинах не допускается наличие остатков внутренних органов, спинного мозга, шкуры, сгустков крови, бахромок мышечной и жировой ткани, загрязнений, кровоподтеков и побитостей.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На замороженной говядине и телятине не допускается наличие льда и снега.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 w:val="22"/>
          <w:szCs w:val="28"/>
        </w:rPr>
      </w:pPr>
      <w:r>
        <w:rPr>
          <w:rFonts w:ascii="Arial" w:hAnsi="Arial" w:cs="Arial"/>
          <w:noProof/>
          <w:color w:val="000000"/>
          <w:sz w:val="22"/>
          <w:szCs w:val="28"/>
        </w:rPr>
        <w:t>Примечание — Допускается наличие зачисток от побитостей и кровоподтеков, срывов подкожного жира и мышечной ткани на площади, не превышающей 15 % поверхности полутуши или четвертины говядины и 10 % поверхности туши или полутуши телятины</w:t>
      </w:r>
      <w:r w:rsidRPr="009A1271">
        <w:rPr>
          <w:rFonts w:ascii="Arial" w:hAnsi="Arial" w:cs="Arial"/>
          <w:noProof/>
          <w:color w:val="000000"/>
          <w:szCs w:val="28"/>
        </w:rPr>
        <w:t xml:space="preserve"> </w:t>
      </w:r>
      <w:r w:rsidRPr="00B76DA2">
        <w:rPr>
          <w:rFonts w:ascii="Arial" w:hAnsi="Arial" w:cs="Arial"/>
          <w:noProof/>
          <w:sz w:val="22"/>
          <w:szCs w:val="22"/>
        </w:rPr>
        <w:t>и молочной телятины.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5.2.22 По микробиологическим показателям, содержанию токсичных элементов, антибиотиков, пестицидов, диоксинов, радионуклидов говядина, телятина и молочная телятина должны соответствовать требованиям [1], [2] или нормативных правовых актов государства, принявшего стандарт.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5.2.23 Не допускается для реализации, а используется для переработки мясо: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свежее, но потемневшее на отдельных участках;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не соответствующее требованиям 5.2.10, 5.2.13-5.2.15;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быков;</w:t>
      </w:r>
    </w:p>
    <w:p w:rsidR="00473FFE" w:rsidRPr="00B76DA2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 xml:space="preserve">- с зачистками от побитостей и кровоподтеков, а также срывами подкожного жира и мышечной ткани, превышающими 15 % поверхности полутуши или </w:t>
      </w:r>
      <w:r w:rsidRPr="00B76DA2">
        <w:rPr>
          <w:rFonts w:ascii="Arial" w:hAnsi="Arial" w:cs="Arial"/>
          <w:noProof/>
          <w:szCs w:val="28"/>
        </w:rPr>
        <w:t>четвертины говядины и 10 % поверхности туши или полутуши телятины и молочной телятины;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с неправильным разделением по позвоночному столбу (с оставлением целых или дробленых позвонков).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5.3 Требования к сырью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Для выработки говядины, телятины и молочной телятины, используют крупный рогатый скот, выращенный и откормленный в специализированных или индивидуальных хозяйствах с соблюдением ветеринарных, агрономических и зоогигиенических требований государства, принявшего стандарт.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 xml:space="preserve">Все продукты убоя должны пройти ветеринарно-санитарную экспертизу в </w:t>
      </w:r>
      <w:r>
        <w:rPr>
          <w:rFonts w:ascii="Arial" w:hAnsi="Arial" w:cs="Arial"/>
          <w:noProof/>
          <w:color w:val="000000"/>
          <w:szCs w:val="28"/>
        </w:rPr>
        <w:lastRenderedPageBreak/>
        <w:t>соответствии с нормативными правовыми актами государства, принявшего стандарт.</w:t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6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Маркировка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6.1 Ветеринарное клеймение и товароведческую маркировку говядины, телятины и молочной телятины проводят в соответствии с [2], [3] или нормативными правовыми актами, действующими на территории государства, принявшего стандарт.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6.2 Товароведческую маркировку говядины проводят только при наличии клейма ветеринарной службы.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6.3 Говядину, телятину и молочную телятину маркируют: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по категории: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 от молодняка крупного рогатого скота — клеймом с обозначением букв высотой 20 мм, соответствующих категориям: супер — «С», прима — «П», экстра — «Э», отличная — «О»; хорошая — «Х», удовлетворительная — «У», низкая — «Н»;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 от взрослого крупного рогатого скота, телятину и молочную телятину первой категории — круглым клеймом диаметром 40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 от взрослого крупного рогатого скота, телятину и молочную телятину второй категории — квадратным клеймом с размером сторон 40 мм;</w:t>
      </w:r>
    </w:p>
    <w:p w:rsidR="00473FFE" w:rsidRPr="00B76DA2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 xml:space="preserve">- говядину от молодняка, имеющую показатели жировых отложений выше установленных 5.2.12 для подкласса 1 — ромбовидным клеймом с размером </w:t>
      </w:r>
      <w:r w:rsidRPr="00B76DA2">
        <w:rPr>
          <w:rFonts w:ascii="Arial" w:hAnsi="Arial" w:cs="Arial"/>
          <w:noProof/>
          <w:szCs w:val="28"/>
        </w:rPr>
        <w:t>сторон 40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говядину, телятину и молочную телятину, не отвечающую требованиям 5.2.10, 5.2.13-5.2.15 — треугольным клеймом с размером сторон 45</w:t>
      </w:r>
      <w:r w:rsidRPr="00A34157">
        <w:rPr>
          <w:rFonts w:ascii="Arial" w:hAnsi="Arial" w:cs="Arial"/>
          <w:noProof/>
          <w:color w:val="000000"/>
          <w:sz w:val="22"/>
          <w:szCs w:val="28"/>
        </w:rPr>
        <w:t>х</w:t>
      </w:r>
      <w:r>
        <w:rPr>
          <w:rFonts w:ascii="Arial" w:hAnsi="Arial" w:cs="Arial"/>
          <w:noProof/>
          <w:color w:val="000000"/>
          <w:szCs w:val="28"/>
        </w:rPr>
        <w:t>50</w:t>
      </w:r>
      <w:r w:rsidRPr="00A34157">
        <w:rPr>
          <w:rFonts w:ascii="Arial" w:hAnsi="Arial" w:cs="Arial"/>
          <w:noProof/>
          <w:color w:val="000000"/>
          <w:sz w:val="22"/>
          <w:szCs w:val="28"/>
        </w:rPr>
        <w:t>х</w:t>
      </w:r>
      <w:r>
        <w:rPr>
          <w:rFonts w:ascii="Arial" w:hAnsi="Arial" w:cs="Arial"/>
          <w:noProof/>
          <w:color w:val="000000"/>
          <w:szCs w:val="28"/>
        </w:rPr>
        <w:t>50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по возрасту и полу (справа от клейма):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 от бычков в возрасте от 8 месяцев до 2 лет — штампом букв «МБ» высотой 20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 от бычков-кастратов в возрасте от 8 месяцев до 3 лет — штампом букв «МК» высотой 20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говядину от телок в возрасте от 8 месяцев до 3 лет — штампом букв «МТ» высотой 20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 xml:space="preserve"> - говядину от коров-первотелок в возрасте от 8 месяцев до 3 лет — штампом букв «</w:t>
      </w:r>
      <w:r w:rsidRPr="007E27B8">
        <w:rPr>
          <w:rFonts w:ascii="Arial" w:hAnsi="Arial" w:cs="Arial"/>
          <w:noProof/>
          <w:color w:val="000000"/>
          <w:szCs w:val="28"/>
        </w:rPr>
        <w:t>МКП</w:t>
      </w:r>
      <w:r>
        <w:rPr>
          <w:rFonts w:ascii="Arial" w:hAnsi="Arial" w:cs="Arial"/>
          <w:noProof/>
          <w:color w:val="000000"/>
          <w:szCs w:val="28"/>
        </w:rPr>
        <w:t>» высотой 20 мм;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 xml:space="preserve">- на говядину от взрослого крупного рогатого скота: коров двух и более </w:t>
      </w:r>
      <w:r>
        <w:rPr>
          <w:rFonts w:ascii="Arial" w:hAnsi="Arial" w:cs="Arial"/>
          <w:noProof/>
          <w:color w:val="000000"/>
          <w:szCs w:val="28"/>
        </w:rPr>
        <w:lastRenderedPageBreak/>
        <w:t>отелов ставят клеймо соответствующей категории с обозначением внутри клейма букв «ВК»;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на говядину от взрослого крупного рогатого скота: быков в возрасте старше 2 лет ставят клеймо соответствующей категории с обозначением внутри клейма букв «ВБ»;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на молочную телятину ставят клеймо соответствующей категории с обозначением внутри клейма букв «ТМ»;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- на телятину от телят в возрасте от 3 до 8 месяцев ставят клеймо соответствующей категории с обозначением внутри клейма буквы «Т».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На тушах, полутушах, перечисленных в 5.2.23, справа от клейма ставят штамп букв «ПП» высотой 20 мм.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6.4 Транспортная маркировка упакованных туш, полутуш и четвертин — по [1], [3] или нормативным правовым актам, действующим на территории государства, принявшего стандарт, ГОСТ 14192 с нанесением манипуляционного знака «Пределы температуры».</w:t>
      </w:r>
    </w:p>
    <w:p w:rsidR="00473FFE" w:rsidRDefault="00473FFE" w:rsidP="00473FFE">
      <w:pPr>
        <w:widowControl w:val="0"/>
        <w:spacing w:line="360" w:lineRule="auto"/>
        <w:ind w:firstLine="720"/>
        <w:jc w:val="both"/>
        <w:rPr>
          <w:rFonts w:ascii="Arial" w:hAnsi="Arial" w:cs="Arial"/>
          <w:noProof/>
          <w:color w:val="000000"/>
          <w:szCs w:val="28"/>
        </w:rPr>
      </w:pPr>
      <w:r>
        <w:rPr>
          <w:rFonts w:ascii="Arial" w:hAnsi="Arial" w:cs="Arial"/>
          <w:noProof/>
          <w:color w:val="000000"/>
          <w:szCs w:val="28"/>
        </w:rPr>
        <w:t>6.5 Маркировка говядины, телятины и молочной телятины, отправляемых в районы Крайнего Севера и приравненные к ним местности — по ГОСТ 15846.</w:t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7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Упаковка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 w:rsidRPr="00B76DA2">
        <w:rPr>
          <w:rFonts w:ascii="Arial" w:hAnsi="Arial" w:cs="Arial"/>
          <w:sz w:val="24"/>
        </w:rPr>
        <w:t>7.1 Говядину и телятину</w:t>
      </w:r>
      <w:r w:rsidRPr="00B76DA2">
        <w:rPr>
          <w:rFonts w:ascii="Arial" w:hAnsi="Arial" w:cs="Arial"/>
          <w:sz w:val="24"/>
          <w:szCs w:val="28"/>
        </w:rPr>
        <w:t xml:space="preserve"> </w:t>
      </w:r>
      <w:r w:rsidRPr="00B76DA2">
        <w:rPr>
          <w:rFonts w:ascii="Arial" w:hAnsi="Arial" w:cs="Arial"/>
          <w:sz w:val="24"/>
        </w:rPr>
        <w:t xml:space="preserve">выпускают для реализации в упакованном и </w:t>
      </w:r>
      <w:r>
        <w:rPr>
          <w:rFonts w:ascii="Arial" w:hAnsi="Arial" w:cs="Arial"/>
          <w:color w:val="000000"/>
          <w:sz w:val="24"/>
        </w:rPr>
        <w:t>неупакованном виде, молочную телятину —</w:t>
      </w:r>
      <w:r>
        <w:rPr>
          <w:rFonts w:ascii="Arial" w:hAnsi="Arial" w:cs="Arial"/>
          <w:color w:val="000000"/>
          <w:sz w:val="24"/>
          <w:szCs w:val="28"/>
        </w:rPr>
        <w:t xml:space="preserve"> </w:t>
      </w:r>
      <w:r>
        <w:rPr>
          <w:rFonts w:ascii="Arial" w:hAnsi="Arial" w:cs="Arial"/>
          <w:color w:val="000000"/>
          <w:sz w:val="24"/>
        </w:rPr>
        <w:t>только в упакованном виде.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7.2 Упаковка, упаковочные материалы должны соответствовать требованиям [4] или нормативных правовых актов, действующих на территории государства, принявшего стандарт, и обеспечивать сохранность и качество говядины, телятины и молочной телятины при транспортировании и хранении в течение всего срока годности.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7.3 Допускается использование многооборотной упаковки, бывшей в употреблении, после ее санитарной обработки.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7.4 В каждую единицу транспортной упаковки укладывают продукцию одного наименования, одного термического состояния и одной даты выработки.</w:t>
      </w:r>
    </w:p>
    <w:p w:rsidR="00B76DA2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7.5 Упаковка продукции, отправляемой в районы Крайнего Севера и приравненные к нему местности — по ГОСТ 15846.</w:t>
      </w:r>
      <w:r w:rsidR="00B76DA2">
        <w:rPr>
          <w:rFonts w:ascii="Arial" w:hAnsi="Arial" w:cs="Arial"/>
          <w:color w:val="000000"/>
          <w:sz w:val="24"/>
        </w:rPr>
        <w:br w:type="page"/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lastRenderedPageBreak/>
        <w:t>8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Правила приемки</w:t>
      </w:r>
    </w:p>
    <w:p w:rsidR="00473FFE" w:rsidRPr="00665827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b/>
          <w:color w:val="000000"/>
          <w:sz w:val="24"/>
        </w:rPr>
      </w:pPr>
      <w:r w:rsidRPr="00665827">
        <w:rPr>
          <w:rFonts w:ascii="Arial" w:hAnsi="Arial" w:cs="Arial"/>
          <w:b/>
          <w:color w:val="000000"/>
          <w:sz w:val="24"/>
        </w:rPr>
        <w:t xml:space="preserve">8.1 </w:t>
      </w:r>
      <w:r>
        <w:rPr>
          <w:rFonts w:ascii="Arial" w:hAnsi="Arial" w:cs="Arial"/>
          <w:b/>
          <w:color w:val="000000"/>
          <w:sz w:val="24"/>
        </w:rPr>
        <w:t>К</w:t>
      </w:r>
      <w:r w:rsidRPr="00665827">
        <w:rPr>
          <w:rFonts w:ascii="Arial" w:hAnsi="Arial" w:cs="Arial"/>
          <w:b/>
          <w:color w:val="000000"/>
          <w:sz w:val="24"/>
        </w:rPr>
        <w:t>рупн</w:t>
      </w:r>
      <w:r>
        <w:rPr>
          <w:rFonts w:ascii="Arial" w:hAnsi="Arial" w:cs="Arial"/>
          <w:b/>
          <w:color w:val="000000"/>
          <w:sz w:val="24"/>
        </w:rPr>
        <w:t>ый</w:t>
      </w:r>
      <w:r w:rsidRPr="00665827">
        <w:rPr>
          <w:rFonts w:ascii="Arial" w:hAnsi="Arial" w:cs="Arial"/>
          <w:b/>
          <w:color w:val="000000"/>
          <w:sz w:val="24"/>
        </w:rPr>
        <w:t xml:space="preserve"> рогат</w:t>
      </w:r>
      <w:r>
        <w:rPr>
          <w:rFonts w:ascii="Arial" w:hAnsi="Arial" w:cs="Arial"/>
          <w:b/>
          <w:color w:val="000000"/>
          <w:sz w:val="24"/>
        </w:rPr>
        <w:t>ый скот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8.1.1 Подготовку крупного рогатого скота к приемке и его приемку проводят согласно технологическим инструкциям, непосредственно на предприятиях, выращивающих скот, или на мясокомбинатах с соблюдением требований, установленных нормативными правовыми актами, действующими на территории государства, принявшего стандарт.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8.1.2 Крупный рогатый скот, предназначенный для убоя, принимают партиями. Под партией понимают определенное количество крупного рогатого скота одного пола и возраста, поступившее в одном транспортном средстве и сопровождаемое одной товарно-транспортной накладной и одним ветеринарным сопроводительным документом. Приемку и сдачу крупного рогатого скота осуществляют по живой массе или по количеству и качеству говядины, телятины и молочной телятины.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8.1.3 При приемке партии крупного рогатого скота проверяют правильность оформления сопроводительных документов, проводят ветеринарный осмотр всех животных в партии и определяют их качество.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8.1.4 При приемке крупного рогатого скота по живой массе осмотру и оценке подлежат все животные в партии.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Крупный рогатый скот взвешивают индивидуально или группами животных, однородных по категориям.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8.1.5 При разногласиях в определении категории крупного рогатого скота проводят контрольный убой всего спорного поголовья. Качество крупного рогатого скота после контрольного убоя оценивают по требованиям, указанным в 5.2.10, 5.2.13-5.2.15.</w:t>
      </w:r>
    </w:p>
    <w:p w:rsidR="00473FFE" w:rsidRPr="00665827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b/>
          <w:color w:val="000000"/>
          <w:sz w:val="24"/>
        </w:rPr>
      </w:pPr>
      <w:r w:rsidRPr="00665827">
        <w:rPr>
          <w:rFonts w:ascii="Arial" w:hAnsi="Arial" w:cs="Arial"/>
          <w:b/>
          <w:color w:val="000000"/>
          <w:sz w:val="24"/>
        </w:rPr>
        <w:t xml:space="preserve">8.2 </w:t>
      </w:r>
      <w:r>
        <w:rPr>
          <w:rFonts w:ascii="Arial" w:hAnsi="Arial" w:cs="Arial"/>
          <w:b/>
          <w:color w:val="000000"/>
          <w:sz w:val="24"/>
        </w:rPr>
        <w:t>Г</w:t>
      </w:r>
      <w:r w:rsidRPr="00665827">
        <w:rPr>
          <w:rFonts w:ascii="Arial" w:hAnsi="Arial" w:cs="Arial"/>
          <w:b/>
          <w:color w:val="000000"/>
          <w:sz w:val="24"/>
        </w:rPr>
        <w:t>овядин</w:t>
      </w:r>
      <w:r>
        <w:rPr>
          <w:rFonts w:ascii="Arial" w:hAnsi="Arial" w:cs="Arial"/>
          <w:b/>
          <w:color w:val="000000"/>
          <w:sz w:val="24"/>
        </w:rPr>
        <w:t>а</w:t>
      </w:r>
      <w:r w:rsidRPr="00665827">
        <w:rPr>
          <w:rFonts w:ascii="Arial" w:hAnsi="Arial" w:cs="Arial"/>
          <w:b/>
          <w:color w:val="000000"/>
          <w:sz w:val="24"/>
        </w:rPr>
        <w:t>, телятин</w:t>
      </w:r>
      <w:r>
        <w:rPr>
          <w:rFonts w:ascii="Arial" w:hAnsi="Arial" w:cs="Arial"/>
          <w:b/>
          <w:color w:val="000000"/>
          <w:sz w:val="24"/>
        </w:rPr>
        <w:t>а</w:t>
      </w:r>
      <w:r w:rsidRPr="00665827">
        <w:rPr>
          <w:rFonts w:ascii="Arial" w:hAnsi="Arial" w:cs="Arial"/>
          <w:b/>
          <w:color w:val="000000"/>
          <w:sz w:val="24"/>
        </w:rPr>
        <w:t xml:space="preserve"> и молочн</w:t>
      </w:r>
      <w:r>
        <w:rPr>
          <w:rFonts w:ascii="Arial" w:hAnsi="Arial" w:cs="Arial"/>
          <w:b/>
          <w:color w:val="000000"/>
          <w:sz w:val="24"/>
        </w:rPr>
        <w:t>ая телятина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8.2.1 Приемку говядины, телятины и молочной телятины проводят партиями по количеству и качеству туш и полутуш</w:t>
      </w:r>
      <w:r w:rsidRPr="004E536F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 xml:space="preserve">. </w:t>
      </w:r>
      <w:r>
        <w:rPr>
          <w:rFonts w:ascii="Arial" w:hAnsi="Arial" w:cs="Arial"/>
          <w:color w:val="000000"/>
          <w:sz w:val="24"/>
        </w:rPr>
        <w:t>Определение партии — согласно [1].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8.2.2 Приемку говядины, телятины и молочной телятины проводят по показателям и требованиям, установленным настоящим стандартом. При приемке проводят осмотр каждой туши и полутуши.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8.2.3 Для оценки качества говядины, телятины и молочной телятины проводят выборку из разных мест партии в зависимости от ее объема в соответствии с количеством, указанным в таблице 13.</w:t>
      </w:r>
      <w:r>
        <w:rPr>
          <w:rFonts w:ascii="Arial" w:hAnsi="Arial" w:cs="Arial"/>
          <w:color w:val="000000"/>
          <w:sz w:val="24"/>
        </w:rPr>
        <w:br w:type="page"/>
      </w:r>
    </w:p>
    <w:p w:rsidR="00473FFE" w:rsidRDefault="00473FFE" w:rsidP="00473FFE">
      <w:pPr>
        <w:pStyle w:val="aa"/>
        <w:widowControl w:val="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sz w:val="22"/>
          <w:szCs w:val="28"/>
        </w:rPr>
        <w:lastRenderedPageBreak/>
        <w:t>Т а б л и ц а  13</w:t>
      </w:r>
    </w:p>
    <w:tbl>
      <w:tblPr>
        <w:tblW w:w="95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4932"/>
        <w:gridCol w:w="4649"/>
      </w:tblGrid>
      <w:tr w:rsidR="00473FFE" w:rsidTr="00D52828">
        <w:trPr>
          <w:trHeight w:val="455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Объем партии, количество туш (полутуш), шт.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Количество отобранных туш (полутуш), шт.</w:t>
            </w:r>
          </w:p>
        </w:tc>
      </w:tr>
      <w:tr w:rsidR="00473FFE" w:rsidTr="00D52828">
        <w:trPr>
          <w:trHeight w:val="46"/>
        </w:trPr>
        <w:tc>
          <w:tcPr>
            <w:tcW w:w="493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743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 xml:space="preserve">До    </w:t>
            </w:r>
            <w:r w:rsidRPr="00BD172F">
              <w:rPr>
                <w:rFonts w:ascii="Arial" w:hAnsi="Arial" w:cs="Arial"/>
                <w:sz w:val="18"/>
                <w:szCs w:val="28"/>
                <w:lang w:eastAsia="en-US"/>
              </w:rPr>
              <w:t xml:space="preserve">  </w:t>
            </w:r>
            <w:r>
              <w:rPr>
                <w:rFonts w:ascii="Arial" w:hAnsi="Arial" w:cs="Arial"/>
                <w:sz w:val="22"/>
                <w:szCs w:val="28"/>
                <w:lang w:eastAsia="en-US"/>
              </w:rPr>
              <w:t xml:space="preserve">    10          включительно</w:t>
            </w:r>
          </w:p>
        </w:tc>
        <w:tc>
          <w:tcPr>
            <w:tcW w:w="464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Все</w:t>
            </w:r>
          </w:p>
        </w:tc>
      </w:tr>
      <w:tr w:rsidR="00473FFE" w:rsidTr="00D52828">
        <w:trPr>
          <w:trHeight w:val="49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743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Свыше  10   до   100   включительно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5</w:t>
            </w:r>
          </w:p>
        </w:tc>
      </w:tr>
      <w:tr w:rsidR="00473FFE" w:rsidTr="00D52828">
        <w:trPr>
          <w:trHeight w:val="49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743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 xml:space="preserve">     «      100   «   1000      «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10</w:t>
            </w:r>
          </w:p>
        </w:tc>
      </w:tr>
      <w:tr w:rsidR="00473FFE" w:rsidTr="00D52828">
        <w:trPr>
          <w:trHeight w:val="49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743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 xml:space="preserve">     «     1000  «   3000      «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15</w:t>
            </w:r>
          </w:p>
        </w:tc>
      </w:tr>
      <w:tr w:rsidR="00473FFE" w:rsidTr="00D52828">
        <w:trPr>
          <w:trHeight w:val="49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743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 xml:space="preserve">     «     3000  «   5000      «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20</w:t>
            </w:r>
          </w:p>
        </w:tc>
      </w:tr>
      <w:tr w:rsidR="00473FFE" w:rsidTr="00D52828">
        <w:trPr>
          <w:trHeight w:val="49"/>
        </w:trPr>
        <w:tc>
          <w:tcPr>
            <w:tcW w:w="4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743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 xml:space="preserve">     «     5000</w:t>
            </w:r>
          </w:p>
        </w:tc>
        <w:tc>
          <w:tcPr>
            <w:tcW w:w="4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35</w:t>
            </w:r>
          </w:p>
        </w:tc>
      </w:tr>
    </w:tbl>
    <w:p w:rsidR="00473FFE" w:rsidRDefault="00473FFE" w:rsidP="00473FFE">
      <w:pPr>
        <w:pStyle w:val="aa"/>
        <w:widowControl w:val="0"/>
        <w:spacing w:before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8.2.4 Порядок и периодичность контроля температуры, микробиологических показателей, содержания токсичных элементов, антибиотиков, пестицидов и радионуклидов устанавливает изготовитель продукции в программе производственного контроля.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8.2.5 При получении неудовлетворительных результатов проводят повторные испытания на удвоенной выборке от той же партии. Результаты повторных испытаний распространяют на всю партию.</w:t>
      </w:r>
    </w:p>
    <w:p w:rsidR="00473FFE" w:rsidRDefault="00473FFE" w:rsidP="00473FFE">
      <w:pPr>
        <w:keepNext/>
        <w:suppressAutoHyphens/>
        <w:spacing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9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Методы контроля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9.1 Принадлежность крупного рогатого скота к определенной категории устанавливают в соответствии с 5.2.1, 5.2.4-5.2.6.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Принадлежность говядины, телятины и молочной телятины, к определенной категории – в соответствии с 5.2.10, 5.2.13-5.2.15.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9.2 Определение массы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 xml:space="preserve">9.2.1 Фактическую живую массу крупного рогатого скота определяют при индивидуальном взвешивании на весах для статического взвешивания по ГОСТ 29329, с числом поверочных делений не менее </w:t>
      </w:r>
      <w:r w:rsidRPr="00B76DA2">
        <w:rPr>
          <w:rFonts w:ascii="Arial" w:hAnsi="Arial" w:cs="Arial"/>
          <w:sz w:val="24"/>
        </w:rPr>
        <w:t>1</w:t>
      </w:r>
      <w:r>
        <w:rPr>
          <w:rFonts w:ascii="Arial" w:hAnsi="Arial" w:cs="Arial"/>
          <w:color w:val="000000"/>
          <w:sz w:val="24"/>
        </w:rPr>
        <w:t>000 кг, при групповом — на весах с числом поверочных делений не менее 10000 кг. Допустимая погрешность должна составлять не более 0,1 % наибольшего предела взвешивания. При этом измеряемая масса должна составлять: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- при индивидуальном взвешивании — не менее 1/3 наибольшего предела взвешивания;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- при групповом взвешивании — не менее половины наибольшего предела взвешивания.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9.2.2 Фактическую массу туш определяют взвешиванием на монорельсовых весах для статического взвешивания с классом точности III по ГОСТ 29329 и ГОСТ 8.453 с наибольшим пределом взвешивания (НПВ) 500, 1000 кг, дискретностью (d) 0,1; 0,2 кг (соответственно), с порогом чувствительности 1,4.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lastRenderedPageBreak/>
        <w:t>9.3 Определение возраста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9.3.1 При приемке крупного рогатого скота возраст устанавливают по данным сопроводительных документов хозяйств и по состоянию зубной аркады.</w:t>
      </w:r>
    </w:p>
    <w:p w:rsidR="00473FFE" w:rsidRDefault="00473FFE" w:rsidP="00473FFE">
      <w:pPr>
        <w:pStyle w:val="aa"/>
        <w:widowControl w:val="0"/>
        <w:spacing w:after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9.3.2 Зубная аркада телят-молочников до 3 месяцев характеризуется наличием только молочных резцов в соответствии с рисунком 3.</w:t>
      </w:r>
    </w:p>
    <w:tbl>
      <w:tblPr>
        <w:tblW w:w="5244" w:type="dxa"/>
        <w:jc w:val="center"/>
        <w:tblInd w:w="2489" w:type="dxa"/>
        <w:tblLayout w:type="fixed"/>
        <w:tblLook w:val="04A0" w:firstRow="1" w:lastRow="0" w:firstColumn="1" w:lastColumn="0" w:noHBand="0" w:noVBand="1"/>
      </w:tblPr>
      <w:tblGrid>
        <w:gridCol w:w="5244"/>
      </w:tblGrid>
      <w:tr w:rsidR="00473FFE" w:rsidTr="00D52828">
        <w:trPr>
          <w:jc w:val="center"/>
        </w:trPr>
        <w:tc>
          <w:tcPr>
            <w:tcW w:w="5245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lang w:eastAsia="en-US"/>
              </w:rPr>
            </w:pPr>
            <w:r>
              <w:rPr>
                <w:lang w:eastAsia="en-US"/>
              </w:rPr>
              <w:object w:dxaOrig="1680" w:dyaOrig="1344">
                <v:shape id="_x0000_i1035" type="#_x0000_t75" style="width:82.9pt;height:67pt" o:ole="">
                  <v:imagedata r:id="rId41" o:title="" grayscale="t"/>
                </v:shape>
                <o:OLEObject Type="Embed" ProgID="MSPhotoEd.3" ShapeID="_x0000_i1035" DrawAspect="Content" ObjectID="_1550102815" r:id="rId42"/>
              </w:object>
            </w:r>
          </w:p>
        </w:tc>
      </w:tr>
      <w:tr w:rsidR="00473FFE" w:rsidTr="00D52828">
        <w:trPr>
          <w:jc w:val="center"/>
        </w:trPr>
        <w:tc>
          <w:tcPr>
            <w:tcW w:w="5245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noProof/>
                <w:color w:val="000000"/>
                <w:sz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lang w:eastAsia="en-US"/>
              </w:rPr>
              <w:t>Рисунок 3 — Зубная аркада телят-молочников</w:t>
            </w:r>
          </w:p>
        </w:tc>
      </w:tr>
    </w:tbl>
    <w:p w:rsidR="00473FFE" w:rsidRDefault="00473FFE" w:rsidP="00473FFE">
      <w:pPr>
        <w:pStyle w:val="aa"/>
        <w:widowControl w:val="0"/>
        <w:spacing w:before="240" w:after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9.3.3 Зубная аркада телят-молочников от 3 до 8 месяцев характеризуется наличием молочных резцов, на стертой поверхности зацепов появляется коричневое пятно в соответствии с рисунком 4.</w:t>
      </w:r>
    </w:p>
    <w:tbl>
      <w:tblPr>
        <w:tblW w:w="5244" w:type="dxa"/>
        <w:jc w:val="center"/>
        <w:tblInd w:w="2489" w:type="dxa"/>
        <w:tblLayout w:type="fixed"/>
        <w:tblLook w:val="04A0" w:firstRow="1" w:lastRow="0" w:firstColumn="1" w:lastColumn="0" w:noHBand="0" w:noVBand="1"/>
      </w:tblPr>
      <w:tblGrid>
        <w:gridCol w:w="5244"/>
      </w:tblGrid>
      <w:tr w:rsidR="00473FFE" w:rsidTr="00D52828">
        <w:trPr>
          <w:jc w:val="center"/>
        </w:trPr>
        <w:tc>
          <w:tcPr>
            <w:tcW w:w="5245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59548CF" wp14:editId="4B16E060">
                  <wp:extent cx="1181100" cy="944880"/>
                  <wp:effectExtent l="0" t="0" r="0" b="7620"/>
                  <wp:docPr id="3" name="Рисунок 3" descr="зуб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зуб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lum bright="-12000"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FFE" w:rsidTr="00D52828">
        <w:trPr>
          <w:jc w:val="center"/>
        </w:trPr>
        <w:tc>
          <w:tcPr>
            <w:tcW w:w="5245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noProof/>
                <w:color w:val="000000"/>
                <w:sz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lang w:eastAsia="en-US"/>
              </w:rPr>
              <w:t>Рисунок 4 — Зубная аркада телят</w:t>
            </w:r>
          </w:p>
        </w:tc>
      </w:tr>
    </w:tbl>
    <w:p w:rsidR="00473FFE" w:rsidRDefault="00473FFE" w:rsidP="00473FFE">
      <w:pPr>
        <w:pStyle w:val="aa"/>
        <w:widowControl w:val="0"/>
        <w:spacing w:before="240" w:after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9.3.4 Зубная аркада молодняка крупного рогатого скота в возрасте до 2 лет характеризуется наличием только первой пары постоянных резцов и оставшихся трех пар молочных резцов в соответствии с рисунком 5.</w:t>
      </w:r>
    </w:p>
    <w:tbl>
      <w:tblPr>
        <w:tblW w:w="7704" w:type="dxa"/>
        <w:jc w:val="center"/>
        <w:tblInd w:w="2489" w:type="dxa"/>
        <w:tblLayout w:type="fixed"/>
        <w:tblLook w:val="04A0" w:firstRow="1" w:lastRow="0" w:firstColumn="1" w:lastColumn="0" w:noHBand="0" w:noVBand="1"/>
      </w:tblPr>
      <w:tblGrid>
        <w:gridCol w:w="7704"/>
      </w:tblGrid>
      <w:tr w:rsidR="00473FFE" w:rsidTr="00D52828">
        <w:trPr>
          <w:jc w:val="center"/>
        </w:trPr>
        <w:tc>
          <w:tcPr>
            <w:tcW w:w="7701" w:type="dxa"/>
            <w:hideMark/>
          </w:tcPr>
          <w:bookmarkStart w:id="3" w:name="_GoBack"/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lang w:eastAsia="en-US"/>
              </w:rPr>
            </w:pPr>
            <w:r>
              <w:rPr>
                <w:lang w:eastAsia="en-US"/>
              </w:rPr>
              <w:object w:dxaOrig="1728" w:dyaOrig="1752">
                <v:shape id="_x0000_i1036" type="#_x0000_t75" style="width:86.25pt;height:87.85pt" o:ole="">
                  <v:imagedata r:id="rId44" o:title="" gain="69719f" grayscale="t"/>
                </v:shape>
                <o:OLEObject Type="Embed" ProgID="MSPhotoEd.3" ShapeID="_x0000_i1036" DrawAspect="Content" ObjectID="_1550102816" r:id="rId45"/>
              </w:object>
            </w:r>
            <w:bookmarkEnd w:id="3"/>
          </w:p>
        </w:tc>
      </w:tr>
      <w:tr w:rsidR="00473FFE" w:rsidTr="00D52828">
        <w:trPr>
          <w:jc w:val="center"/>
        </w:trPr>
        <w:tc>
          <w:tcPr>
            <w:tcW w:w="7701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noProof/>
                <w:color w:val="000000"/>
                <w:sz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lang w:eastAsia="en-US"/>
              </w:rPr>
              <w:t>Рисунок 5 — Зубная аркада молодняка крупного рогатого скота до 2 лет</w:t>
            </w:r>
          </w:p>
        </w:tc>
      </w:tr>
    </w:tbl>
    <w:p w:rsidR="00473FFE" w:rsidRDefault="00473FFE" w:rsidP="00473FFE">
      <w:pPr>
        <w:pStyle w:val="aa"/>
        <w:widowControl w:val="0"/>
        <w:spacing w:before="240" w:after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9.3.5 Зубная аркада взрослого крупного рогатого скота старше 2 лет характеризуется наличием первой пары постоянных резцов и началом прорезывания второй пары постоянных резцов в соответствии с рисунком 6.</w:t>
      </w:r>
    </w:p>
    <w:tbl>
      <w:tblPr>
        <w:tblW w:w="8340" w:type="dxa"/>
        <w:jc w:val="center"/>
        <w:tblInd w:w="2489" w:type="dxa"/>
        <w:tblLayout w:type="fixed"/>
        <w:tblLook w:val="04A0" w:firstRow="1" w:lastRow="0" w:firstColumn="1" w:lastColumn="0" w:noHBand="0" w:noVBand="1"/>
      </w:tblPr>
      <w:tblGrid>
        <w:gridCol w:w="8340"/>
      </w:tblGrid>
      <w:tr w:rsidR="00473FFE" w:rsidTr="00D52828">
        <w:trPr>
          <w:jc w:val="center"/>
        </w:trPr>
        <w:tc>
          <w:tcPr>
            <w:tcW w:w="8338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AA9F09" wp14:editId="77A40624">
                  <wp:extent cx="1203960" cy="1181100"/>
                  <wp:effectExtent l="0" t="0" r="0" b="0"/>
                  <wp:docPr id="2" name="Рисунок 2" descr="окон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кон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68" t="12395" r="72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FFE" w:rsidTr="00D52828">
        <w:trPr>
          <w:jc w:val="center"/>
        </w:trPr>
        <w:tc>
          <w:tcPr>
            <w:tcW w:w="8338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noProof/>
                <w:color w:val="000000"/>
                <w:sz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lang w:eastAsia="en-US"/>
              </w:rPr>
              <w:t>Рисунок 6 — Зубная аркада взрослого крупного рогатого скота старше 2 лет</w:t>
            </w:r>
          </w:p>
        </w:tc>
      </w:tr>
    </w:tbl>
    <w:p w:rsidR="00473FFE" w:rsidRDefault="00473FFE" w:rsidP="00473FFE">
      <w:pPr>
        <w:pStyle w:val="aa"/>
        <w:widowControl w:val="0"/>
        <w:spacing w:before="240" w:after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9.3.6 Зубная аркада молодняка крупного рогатого скота в возрасте до 3 лет характеризуется наличием двух пар постоянных резцов  в соответствии с рисунком 7.</w:t>
      </w:r>
    </w:p>
    <w:tbl>
      <w:tblPr>
        <w:tblW w:w="8124" w:type="dxa"/>
        <w:jc w:val="center"/>
        <w:tblInd w:w="2489" w:type="dxa"/>
        <w:tblLayout w:type="fixed"/>
        <w:tblLook w:val="04A0" w:firstRow="1" w:lastRow="0" w:firstColumn="1" w:lastColumn="0" w:noHBand="0" w:noVBand="1"/>
      </w:tblPr>
      <w:tblGrid>
        <w:gridCol w:w="8124"/>
      </w:tblGrid>
      <w:tr w:rsidR="00473FFE" w:rsidTr="00D52828">
        <w:trPr>
          <w:jc w:val="center"/>
        </w:trPr>
        <w:tc>
          <w:tcPr>
            <w:tcW w:w="812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noProof/>
                <w:color w:val="000000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A8C862A" wp14:editId="2C03F976">
                  <wp:extent cx="1165860" cy="1242060"/>
                  <wp:effectExtent l="0" t="0" r="0" b="0"/>
                  <wp:docPr id="1" name="Рисунок 1" descr="Ри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Ри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3FFE" w:rsidTr="00D52828">
        <w:trPr>
          <w:jc w:val="center"/>
        </w:trPr>
        <w:tc>
          <w:tcPr>
            <w:tcW w:w="8126" w:type="dxa"/>
            <w:hideMark/>
          </w:tcPr>
          <w:p w:rsidR="00473FFE" w:rsidRDefault="00473FFE" w:rsidP="00D52828">
            <w:pPr>
              <w:widowControl w:val="0"/>
              <w:spacing w:line="276" w:lineRule="auto"/>
              <w:jc w:val="center"/>
              <w:rPr>
                <w:rFonts w:ascii="Arial" w:hAnsi="Arial" w:cs="Arial"/>
                <w:noProof/>
                <w:color w:val="000000"/>
                <w:sz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lang w:eastAsia="en-US"/>
              </w:rPr>
              <w:t>Рисунок 7 — Зубная аркада молодняка крупного рогатого скота до 3 лет</w:t>
            </w:r>
          </w:p>
        </w:tc>
      </w:tr>
    </w:tbl>
    <w:p w:rsidR="00473FFE" w:rsidRDefault="00473FFE" w:rsidP="00473FFE">
      <w:pPr>
        <w:pStyle w:val="aa"/>
        <w:widowControl w:val="0"/>
        <w:spacing w:before="240"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9.3.7 Зубная аркада взрослого крупного рогатого скота старше 3 лет характеризуется наличием трех и более пар постоянных резцов.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9.4 Оценку молодняка крупного рогатого скота по классам и подклассам осуществляют визуально и прощупыванием.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9.5 Оценку говядины от молодняка крупного рогатого скота по классам и подклассам осуществляют визуально. Толщину жира на тушах — измерительной линейкой по ГОСТ 427.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</w:rPr>
      </w:pPr>
      <w:r w:rsidRPr="009A1EC1">
        <w:rPr>
          <w:rFonts w:ascii="Arial" w:hAnsi="Arial" w:cs="Arial"/>
        </w:rPr>
        <w:t>9.6 Температуру говядины, телятины и молочной телятины, определяют в толще тканей на глубине не менее 1 см цифровым термометром</w:t>
      </w:r>
      <w:r w:rsidRPr="00CF734D">
        <w:t xml:space="preserve"> </w:t>
      </w:r>
      <w:r w:rsidRPr="00CF734D">
        <w:rPr>
          <w:rFonts w:ascii="Arial" w:hAnsi="Arial" w:cs="Arial"/>
        </w:rPr>
        <w:t>с погрешностью измерения ±0,5</w:t>
      </w:r>
      <w:r>
        <w:rPr>
          <w:rFonts w:ascii="Arial" w:hAnsi="Arial" w:cs="Arial"/>
        </w:rPr>
        <w:t> </w:t>
      </w:r>
      <w:r w:rsidRPr="00CF734D">
        <w:rPr>
          <w:rFonts w:ascii="Arial" w:hAnsi="Arial" w:cs="Arial"/>
        </w:rPr>
        <w:t>°С</w:t>
      </w:r>
      <w:r w:rsidRPr="009A1EC1">
        <w:rPr>
          <w:rFonts w:ascii="Arial" w:hAnsi="Arial" w:cs="Arial"/>
        </w:rPr>
        <w:t>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9.7 Отбор и подготовка проб к испытаниям — по ГОСТ 7269, ГОСТ 26669, ГОСТ 26670, ГОСТ 26929,</w:t>
      </w:r>
      <w:r>
        <w:rPr>
          <w:rFonts w:ascii="Arial" w:hAnsi="Arial" w:cs="Arial"/>
          <w:szCs w:val="28"/>
        </w:rPr>
        <w:t xml:space="preserve"> ГОСТ 31671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</w:rPr>
        <w:t xml:space="preserve">ГОСТ 31904, </w:t>
      </w:r>
      <w:r>
        <w:rPr>
          <w:rFonts w:ascii="Arial" w:hAnsi="Arial" w:cs="Arial"/>
          <w:szCs w:val="28"/>
        </w:rPr>
        <w:t>ГОСТ 32164 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9.8 Определение органолептических показателей — по ГОСТ 7269</w:t>
      </w:r>
      <w:r>
        <w:rPr>
          <w:rFonts w:ascii="Arial" w:hAnsi="Arial" w:cs="Arial"/>
          <w:szCs w:val="28"/>
        </w:rPr>
        <w:t xml:space="preserve"> 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9.9 При возникновении разногласий в определении свежести мяса отбор проб и испытания — по ГОСТ 7269, ГОСТ 19496, ГОСТ 23392 </w:t>
      </w:r>
      <w:r>
        <w:rPr>
          <w:rFonts w:ascii="Arial" w:hAnsi="Arial" w:cs="Arial"/>
          <w:szCs w:val="28"/>
        </w:rPr>
        <w:t>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9.10 Определение микробиологических показателей: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- количества мезофильных аэробных и факультативно-анаэробных микроорганизмов — по ГОСТ 10444.15 </w:t>
      </w:r>
      <w:r>
        <w:rPr>
          <w:rFonts w:ascii="Arial" w:hAnsi="Arial" w:cs="Arial"/>
          <w:szCs w:val="28"/>
        </w:rPr>
        <w:t>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- бактерий группы кишечных палочек (колиформы) — по ГОСТ 21237, ГОСТ 31747 </w:t>
      </w:r>
      <w:r>
        <w:rPr>
          <w:rFonts w:ascii="Arial" w:hAnsi="Arial" w:cs="Arial"/>
          <w:szCs w:val="28"/>
        </w:rPr>
        <w:t>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- патогенных микроорганизмоов, в т.ч. сальмонелл — по ГОСТ 21237, ГОСТ 31659 </w:t>
      </w:r>
      <w:r>
        <w:rPr>
          <w:rFonts w:ascii="Arial" w:hAnsi="Arial" w:cs="Arial"/>
          <w:szCs w:val="28"/>
        </w:rPr>
        <w:t>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- L. monocytogenes — по ГОСТ 32031 </w:t>
      </w:r>
      <w:r>
        <w:rPr>
          <w:rFonts w:ascii="Arial" w:hAnsi="Arial" w:cs="Arial"/>
          <w:szCs w:val="28"/>
        </w:rPr>
        <w:t>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- бактерий рода Proteus — по ГОСТ 28560 </w:t>
      </w:r>
      <w:r>
        <w:rPr>
          <w:rFonts w:ascii="Arial" w:hAnsi="Arial" w:cs="Arial"/>
          <w:szCs w:val="28"/>
        </w:rPr>
        <w:t>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9.11 Определение содержания токсичных элементов: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ртути — по ГОСТ 26927</w:t>
      </w:r>
      <w:r>
        <w:rPr>
          <w:rFonts w:ascii="Arial" w:hAnsi="Arial" w:cs="Arial"/>
          <w:szCs w:val="28"/>
        </w:rPr>
        <w:t xml:space="preserve"> 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мышьяка — по ГОСТ 26930, ГОСТ 30538, ГОСТ 31628</w:t>
      </w:r>
      <w:r>
        <w:rPr>
          <w:rFonts w:ascii="Arial" w:hAnsi="Arial" w:cs="Arial"/>
          <w:szCs w:val="28"/>
        </w:rPr>
        <w:t xml:space="preserve"> 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свинца — по ГОСТ 26932, ГОСТ 30178, ГОСТ 30538</w:t>
      </w:r>
      <w:r>
        <w:rPr>
          <w:rFonts w:ascii="Arial" w:hAnsi="Arial" w:cs="Arial"/>
          <w:szCs w:val="28"/>
        </w:rPr>
        <w:t xml:space="preserve"> 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;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кадмия — по ГОСТ 26933, ГОСТ 30178, ГОСТ 30538</w:t>
      </w:r>
      <w:r>
        <w:rPr>
          <w:rFonts w:ascii="Arial" w:hAnsi="Arial" w:cs="Arial"/>
          <w:szCs w:val="28"/>
        </w:rPr>
        <w:t xml:space="preserve"> и нормативным правовым актам государства, принявшего стандарт</w:t>
      </w:r>
      <w:r>
        <w:rPr>
          <w:rFonts w:ascii="Arial" w:hAnsi="Arial" w:cs="Arial"/>
          <w:color w:val="000000"/>
        </w:rPr>
        <w:t>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9.12 Определение пестицидов — по нормативным документам, действующим на территории государства, принявшего стандарт.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9.13 Определение антибиотиков — по нормативным документам, действующим на территории государства, принявшего стандарт.</w:t>
      </w:r>
    </w:p>
    <w:p w:rsidR="00473FFE" w:rsidRDefault="00473FFE" w:rsidP="00473FFE">
      <w:pPr>
        <w:spacing w:line="360" w:lineRule="auto"/>
        <w:ind w:firstLine="709"/>
        <w:jc w:val="both"/>
        <w:rPr>
          <w:rFonts w:ascii="Arial" w:hAnsi="Arial" w:cs="Arial"/>
          <w:color w:val="000000"/>
          <w:highlight w:val="yellow"/>
        </w:rPr>
      </w:pPr>
      <w:r>
        <w:rPr>
          <w:rFonts w:ascii="Arial" w:hAnsi="Arial" w:cs="Arial"/>
          <w:color w:val="000000"/>
        </w:rPr>
        <w:t xml:space="preserve">9.14 Определение радионуклидов — по </w:t>
      </w:r>
      <w:r w:rsidRPr="00107E7E">
        <w:rPr>
          <w:rFonts w:ascii="Arial" w:hAnsi="Arial" w:cs="Arial"/>
          <w:color w:val="000000"/>
        </w:rPr>
        <w:t>ГОСТ</w:t>
      </w:r>
      <w:r>
        <w:rPr>
          <w:rFonts w:ascii="Arial" w:hAnsi="Arial" w:cs="Arial"/>
          <w:color w:val="000000"/>
        </w:rPr>
        <w:t> </w:t>
      </w:r>
      <w:r w:rsidRPr="00107E7E">
        <w:rPr>
          <w:rFonts w:ascii="Arial" w:hAnsi="Arial" w:cs="Arial"/>
          <w:color w:val="000000"/>
        </w:rPr>
        <w:t>32161</w:t>
      </w:r>
      <w:r>
        <w:rPr>
          <w:rFonts w:ascii="Arial" w:hAnsi="Arial" w:cs="Arial"/>
          <w:color w:val="000000"/>
        </w:rPr>
        <w:t xml:space="preserve"> и нормативным документам, действующим на территории государства, принявшего стандарт.</w:t>
      </w:r>
    </w:p>
    <w:p w:rsidR="00473FFE" w:rsidRDefault="00473FFE" w:rsidP="00473FFE">
      <w:pPr>
        <w:keepNext/>
        <w:suppressAutoHyphens/>
        <w:spacing w:before="240" w:line="360" w:lineRule="auto"/>
        <w:ind w:firstLine="709"/>
        <w:outlineLvl w:val="4"/>
        <w:rPr>
          <w:rFonts w:ascii="Arial" w:hAnsi="Arial"/>
          <w:b/>
          <w:sz w:val="28"/>
          <w:szCs w:val="28"/>
          <w:lang w:eastAsia="x-none"/>
        </w:rPr>
      </w:pPr>
      <w:r>
        <w:rPr>
          <w:rFonts w:ascii="Arial" w:hAnsi="Arial"/>
          <w:b/>
          <w:sz w:val="28"/>
          <w:szCs w:val="28"/>
          <w:lang w:eastAsia="x-none"/>
        </w:rPr>
        <w:t>10</w:t>
      </w:r>
      <w:r>
        <w:rPr>
          <w:rFonts w:ascii="Arial" w:hAnsi="Arial"/>
          <w:b/>
          <w:sz w:val="28"/>
          <w:szCs w:val="28"/>
          <w:lang w:val="x-none" w:eastAsia="x-none"/>
        </w:rPr>
        <w:t> </w:t>
      </w:r>
      <w:r>
        <w:rPr>
          <w:rFonts w:ascii="Arial" w:hAnsi="Arial"/>
          <w:b/>
          <w:sz w:val="28"/>
          <w:szCs w:val="28"/>
          <w:lang w:eastAsia="x-none"/>
        </w:rPr>
        <w:t>Транспортирование и хранение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10.1 Крупный рогатый скот перевозят всеми видами транспорта в соответствии с правилами перевозок живого скота, действующими на данном виде транспорта. Транспортные средства должны быть чистыми и исключать возможность повреждения кожного покрова животных. Допускается доставка скота гоном на расстояние не далее 20 км.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 xml:space="preserve">10.2 Транспортирование говядины, телятины и молочной телятины, производят всеми видами транспорта в соответствии с правилами перевозок </w:t>
      </w:r>
      <w:r>
        <w:rPr>
          <w:rFonts w:ascii="Arial" w:hAnsi="Arial" w:cs="Arial"/>
          <w:color w:val="000000"/>
          <w:sz w:val="24"/>
        </w:rPr>
        <w:lastRenderedPageBreak/>
        <w:t>грузов, действующими на транспорте данного вида. Туши, полутуши и четвертины в парном состоянии транспортированию не подлежат.</w:t>
      </w:r>
    </w:p>
    <w:p w:rsidR="00473FFE" w:rsidRDefault="00473FFE" w:rsidP="00473FFE">
      <w:pPr>
        <w:pStyle w:val="aa"/>
        <w:widowControl w:val="0"/>
        <w:spacing w:line="360" w:lineRule="auto"/>
        <w:ind w:firstLine="709"/>
        <w:jc w:val="both"/>
        <w:rPr>
          <w:rFonts w:ascii="Arial" w:hAnsi="Arial" w:cs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10.3 Рекомендуемые условия хранения и сроки годности говядины, телятины и молочной телятины в охлажденном и замороженном состоянии приведены в таблице 14.</w:t>
      </w:r>
    </w:p>
    <w:p w:rsidR="00473FFE" w:rsidRDefault="00473FFE" w:rsidP="00473FFE">
      <w:pPr>
        <w:pStyle w:val="aa"/>
        <w:widowControl w:val="0"/>
        <w:spacing w:before="240"/>
        <w:rPr>
          <w:rFonts w:ascii="Arial" w:hAnsi="Arial" w:cs="Arial"/>
          <w:color w:val="000000"/>
          <w:spacing w:val="20"/>
          <w:sz w:val="22"/>
          <w:szCs w:val="28"/>
        </w:rPr>
      </w:pPr>
      <w:r>
        <w:rPr>
          <w:rFonts w:ascii="Arial" w:hAnsi="Arial" w:cs="Arial"/>
          <w:color w:val="000000"/>
          <w:spacing w:val="20"/>
          <w:sz w:val="22"/>
          <w:szCs w:val="28"/>
        </w:rPr>
        <w:t>Т а б л и ц а  14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8" w:type="dxa"/>
          <w:left w:w="85" w:type="dxa"/>
          <w:bottom w:w="28" w:type="dxa"/>
          <w:right w:w="85" w:type="dxa"/>
        </w:tblCellMar>
        <w:tblLook w:val="00A0" w:firstRow="1" w:lastRow="0" w:firstColumn="1" w:lastColumn="0" w:noHBand="0" w:noVBand="0"/>
      </w:tblPr>
      <w:tblGrid>
        <w:gridCol w:w="3580"/>
        <w:gridCol w:w="1750"/>
        <w:gridCol w:w="1932"/>
        <w:gridCol w:w="2292"/>
      </w:tblGrid>
      <w:tr w:rsidR="00473FFE" w:rsidTr="00D52828">
        <w:trPr>
          <w:jc w:val="center"/>
        </w:trPr>
        <w:tc>
          <w:tcPr>
            <w:tcW w:w="3617" w:type="dxa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Вид термического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 xml:space="preserve"> состояния мяса</w:t>
            </w:r>
          </w:p>
        </w:tc>
        <w:tc>
          <w:tcPr>
            <w:tcW w:w="3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Параметры воздуха в камере хранения мяса</w:t>
            </w:r>
          </w:p>
        </w:tc>
        <w:tc>
          <w:tcPr>
            <w:tcW w:w="2293" w:type="dxa"/>
            <w:vMerge w:val="restar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Срок годности, включая транспортирование, не более</w:t>
            </w:r>
          </w:p>
        </w:tc>
      </w:tr>
      <w:tr w:rsidR="00473FFE" w:rsidTr="00D5282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</w:p>
        </w:tc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температура, °С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относительная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 xml:space="preserve"> влажность, %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</w:p>
        </w:tc>
      </w:tr>
      <w:tr w:rsidR="00473FFE" w:rsidTr="00D52828">
        <w:trPr>
          <w:jc w:val="center"/>
        </w:trPr>
        <w:tc>
          <w:tcPr>
            <w:tcW w:w="3617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Говядина и телятина в  полутушах и четвертинах охлажденная (подвесом)</w:t>
            </w:r>
          </w:p>
        </w:tc>
        <w:tc>
          <w:tcPr>
            <w:tcW w:w="1754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От минус 1,5</w:t>
            </w: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br/>
              <w:t>до 4</w:t>
            </w:r>
          </w:p>
        </w:tc>
        <w:tc>
          <w:tcPr>
            <w:tcW w:w="1936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80-85</w:t>
            </w:r>
          </w:p>
        </w:tc>
        <w:tc>
          <w:tcPr>
            <w:tcW w:w="2293" w:type="dxa"/>
            <w:tcBorders>
              <w:top w:val="doub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16 суток</w:t>
            </w:r>
          </w:p>
        </w:tc>
      </w:tr>
      <w:tr w:rsidR="00473FFE" w:rsidTr="00D52828">
        <w:trPr>
          <w:jc w:val="center"/>
        </w:trPr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Молочная телятина в тушах и полутушах охлажденная  (подвесом)</w:t>
            </w:r>
          </w:p>
        </w:tc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0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80-85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12 суток</w:t>
            </w:r>
          </w:p>
        </w:tc>
      </w:tr>
      <w:tr w:rsidR="00473FFE" w:rsidTr="00D52828">
        <w:trPr>
          <w:jc w:val="center"/>
        </w:trPr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ind w:firstLine="284"/>
              <w:jc w:val="both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Говядина и телятина в полутушах и четвертинах замороженная (штабель)</w:t>
            </w:r>
          </w:p>
        </w:tc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Минус 12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Минус 18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Минус 20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Минус 25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sz w:val="22"/>
                <w:szCs w:val="28"/>
                <w:lang w:eastAsia="en-US"/>
              </w:rPr>
              <w:t>95-98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8 месяцев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12 месяцев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14 месяцев</w:t>
            </w:r>
          </w:p>
          <w:p w:rsidR="00473FFE" w:rsidRDefault="00473FFE" w:rsidP="00D52828">
            <w:pPr>
              <w:pStyle w:val="aa"/>
              <w:widowControl w:val="0"/>
              <w:spacing w:line="276" w:lineRule="auto"/>
              <w:jc w:val="center"/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</w:pPr>
            <w:r>
              <w:rPr>
                <w:rFonts w:ascii="Arial" w:hAnsi="Arial" w:cs="Arial"/>
                <w:color w:val="000000"/>
                <w:sz w:val="22"/>
                <w:szCs w:val="28"/>
                <w:lang w:eastAsia="en-US"/>
              </w:rPr>
              <w:t>18 месяцев</w:t>
            </w:r>
          </w:p>
        </w:tc>
      </w:tr>
    </w:tbl>
    <w:p w:rsidR="00473FFE" w:rsidRDefault="00473FFE" w:rsidP="00473FFE">
      <w:pPr>
        <w:widowControl w:val="0"/>
        <w:spacing w:before="240" w:line="360" w:lineRule="auto"/>
        <w:ind w:firstLine="720"/>
        <w:jc w:val="both"/>
        <w:rPr>
          <w:rFonts w:ascii="Arial" w:hAnsi="Arial" w:cs="Arial"/>
          <w:color w:val="000000"/>
          <w:szCs w:val="28"/>
        </w:rPr>
      </w:pPr>
      <w:r>
        <w:rPr>
          <w:rFonts w:ascii="Arial" w:hAnsi="Arial" w:cs="Arial"/>
          <w:color w:val="000000"/>
          <w:szCs w:val="28"/>
        </w:rPr>
        <w:t>10.4 Транспортирование и хранение говядины, телятины и молочной телятины,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zCs w:val="28"/>
        </w:rPr>
        <w:t>отправляемых в районы Крайнего Севера и приравненные к ним местности — по ГОСТ 15846.</w:t>
      </w:r>
    </w:p>
    <w:p w:rsidR="00473FFE" w:rsidRDefault="00473FFE" w:rsidP="00473FFE">
      <w:pPr>
        <w:pStyle w:val="1"/>
        <w:keepNext w:val="0"/>
        <w:widowControl w:val="0"/>
        <w:spacing w:before="0" w:after="0"/>
        <w:jc w:val="center"/>
        <w:rPr>
          <w:bCs w:val="0"/>
          <w:color w:val="000000"/>
          <w:sz w:val="28"/>
          <w:szCs w:val="28"/>
        </w:rPr>
      </w:pPr>
      <w:r>
        <w:rPr>
          <w:b w:val="0"/>
          <w:color w:val="000000"/>
          <w:sz w:val="28"/>
          <w:szCs w:val="28"/>
        </w:rPr>
        <w:br w:type="page"/>
      </w:r>
      <w:bookmarkStart w:id="4" w:name="_Toc253473944"/>
    </w:p>
    <w:p w:rsidR="00473FFE" w:rsidRDefault="00473FFE" w:rsidP="00473FFE">
      <w:pPr>
        <w:pStyle w:val="1"/>
        <w:keepNext w:val="0"/>
        <w:widowControl w:val="0"/>
        <w:spacing w:before="0" w:after="0"/>
        <w:jc w:val="center"/>
        <w:rPr>
          <w:rFonts w:ascii="Arial" w:hAnsi="Arial" w:cs="Arial"/>
          <w:bCs w:val="0"/>
          <w:color w:val="000000"/>
          <w:sz w:val="28"/>
          <w:szCs w:val="28"/>
        </w:rPr>
      </w:pPr>
      <w:r>
        <w:rPr>
          <w:rFonts w:ascii="Arial" w:hAnsi="Arial" w:cs="Arial"/>
          <w:bCs w:val="0"/>
          <w:color w:val="000000"/>
          <w:sz w:val="28"/>
          <w:szCs w:val="28"/>
        </w:rPr>
        <w:lastRenderedPageBreak/>
        <w:t>Библиография</w:t>
      </w:r>
      <w:bookmarkEnd w:id="4"/>
    </w:p>
    <w:p w:rsidR="00473FFE" w:rsidRDefault="00473FFE" w:rsidP="00473FFE">
      <w:pPr>
        <w:widowControl w:val="0"/>
        <w:jc w:val="center"/>
        <w:rPr>
          <w:color w:val="000000"/>
          <w:sz w:val="28"/>
          <w:szCs w:val="28"/>
        </w:rPr>
      </w:pPr>
    </w:p>
    <w:tbl>
      <w:tblPr>
        <w:tblW w:w="9322" w:type="dxa"/>
        <w:tblLook w:val="01E0" w:firstRow="1" w:lastRow="1" w:firstColumn="1" w:lastColumn="1" w:noHBand="0" w:noVBand="0"/>
      </w:tblPr>
      <w:tblGrid>
        <w:gridCol w:w="683"/>
        <w:gridCol w:w="2260"/>
        <w:gridCol w:w="6379"/>
      </w:tblGrid>
      <w:tr w:rsidR="00473FFE" w:rsidTr="00D52828">
        <w:tc>
          <w:tcPr>
            <w:tcW w:w="683" w:type="dxa"/>
            <w:hideMark/>
          </w:tcPr>
          <w:p w:rsidR="00473FFE" w:rsidRDefault="00473FFE" w:rsidP="00D52828">
            <w:pPr>
              <w:widowControl w:val="0"/>
              <w:spacing w:line="360" w:lineRule="auto"/>
              <w:jc w:val="both"/>
              <w:rPr>
                <w:rFonts w:ascii="Arial" w:eastAsia="Calibri" w:hAnsi="Arial" w:cs="Arial"/>
                <w:color w:val="000000"/>
                <w:szCs w:val="28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Cs w:val="28"/>
                <w:lang w:eastAsia="en-US"/>
              </w:rPr>
              <w:t>[1]</w:t>
            </w:r>
          </w:p>
        </w:tc>
        <w:tc>
          <w:tcPr>
            <w:tcW w:w="2260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ТР ТС 021/2011</w:t>
            </w:r>
          </w:p>
        </w:tc>
        <w:tc>
          <w:tcPr>
            <w:tcW w:w="6379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 xml:space="preserve">Технический регламент Таможенного союза </w:t>
            </w:r>
            <w:r>
              <w:rPr>
                <w:rFonts w:ascii="Arial" w:hAnsi="Arial" w:cs="Arial"/>
                <w:szCs w:val="28"/>
                <w:lang w:eastAsia="en-US"/>
              </w:rPr>
              <w:br/>
              <w:t>«О безопасности пищевой продукции»</w:t>
            </w:r>
          </w:p>
        </w:tc>
      </w:tr>
      <w:tr w:rsidR="00473FFE" w:rsidTr="00D52828">
        <w:trPr>
          <w:cantSplit/>
        </w:trPr>
        <w:tc>
          <w:tcPr>
            <w:tcW w:w="683" w:type="dxa"/>
            <w:hideMark/>
          </w:tcPr>
          <w:p w:rsidR="00473FFE" w:rsidRDefault="00473FFE" w:rsidP="00D52828">
            <w:pPr>
              <w:widowControl w:val="0"/>
              <w:spacing w:line="360" w:lineRule="auto"/>
              <w:jc w:val="both"/>
              <w:rPr>
                <w:rFonts w:ascii="Arial" w:eastAsia="Calibri" w:hAnsi="Arial" w:cs="Arial"/>
                <w:color w:val="000000"/>
                <w:szCs w:val="28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Cs w:val="28"/>
                <w:lang w:eastAsia="en-US"/>
              </w:rPr>
              <w:t>[2]</w:t>
            </w:r>
          </w:p>
        </w:tc>
        <w:tc>
          <w:tcPr>
            <w:tcW w:w="2260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ТР ТС 034/2013</w:t>
            </w:r>
          </w:p>
        </w:tc>
        <w:tc>
          <w:tcPr>
            <w:tcW w:w="6379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 xml:space="preserve">Технический регламент Таможенного союза </w:t>
            </w:r>
            <w:r>
              <w:rPr>
                <w:rFonts w:ascii="Arial" w:hAnsi="Arial" w:cs="Arial"/>
                <w:szCs w:val="28"/>
                <w:lang w:eastAsia="en-US"/>
              </w:rPr>
              <w:br/>
              <w:t>«О безопасности мяса и мясной продукции»</w:t>
            </w:r>
          </w:p>
        </w:tc>
      </w:tr>
      <w:tr w:rsidR="00473FFE" w:rsidTr="00D52828">
        <w:trPr>
          <w:cantSplit/>
        </w:trPr>
        <w:tc>
          <w:tcPr>
            <w:tcW w:w="683" w:type="dxa"/>
            <w:hideMark/>
          </w:tcPr>
          <w:p w:rsidR="00473FFE" w:rsidRDefault="00473FFE" w:rsidP="00D52828">
            <w:pPr>
              <w:widowControl w:val="0"/>
              <w:spacing w:line="360" w:lineRule="auto"/>
              <w:jc w:val="both"/>
              <w:rPr>
                <w:rFonts w:ascii="Arial" w:eastAsia="Calibri" w:hAnsi="Arial" w:cs="Arial"/>
                <w:color w:val="000000"/>
                <w:szCs w:val="28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Cs w:val="28"/>
                <w:lang w:eastAsia="en-US"/>
              </w:rPr>
              <w:t>[3]</w:t>
            </w:r>
          </w:p>
        </w:tc>
        <w:tc>
          <w:tcPr>
            <w:tcW w:w="2260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ТР ТС 022/2011</w:t>
            </w:r>
          </w:p>
        </w:tc>
        <w:tc>
          <w:tcPr>
            <w:tcW w:w="6379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Технический регламент Таможенного союза «Пищевая продукция в части ее маркировки»</w:t>
            </w:r>
          </w:p>
        </w:tc>
      </w:tr>
      <w:tr w:rsidR="00473FFE" w:rsidTr="00D52828">
        <w:trPr>
          <w:cantSplit/>
        </w:trPr>
        <w:tc>
          <w:tcPr>
            <w:tcW w:w="683" w:type="dxa"/>
            <w:hideMark/>
          </w:tcPr>
          <w:p w:rsidR="00473FFE" w:rsidRDefault="00473FFE" w:rsidP="00D52828">
            <w:pPr>
              <w:widowControl w:val="0"/>
              <w:spacing w:line="360" w:lineRule="auto"/>
              <w:jc w:val="both"/>
              <w:rPr>
                <w:rFonts w:ascii="Arial" w:eastAsia="Calibri" w:hAnsi="Arial" w:cs="Arial"/>
                <w:color w:val="000000"/>
                <w:szCs w:val="28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Cs w:val="28"/>
                <w:lang w:eastAsia="en-US"/>
              </w:rPr>
              <w:t>[4]</w:t>
            </w:r>
          </w:p>
        </w:tc>
        <w:tc>
          <w:tcPr>
            <w:tcW w:w="2260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ТР ТС 005/2011</w:t>
            </w:r>
          </w:p>
        </w:tc>
        <w:tc>
          <w:tcPr>
            <w:tcW w:w="6379" w:type="dxa"/>
            <w:hideMark/>
          </w:tcPr>
          <w:p w:rsidR="00473FFE" w:rsidRDefault="00473FFE" w:rsidP="00D52828">
            <w:pPr>
              <w:spacing w:line="360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 xml:space="preserve">Технический регламент Таможенного союза </w:t>
            </w:r>
            <w:r>
              <w:rPr>
                <w:rFonts w:ascii="Arial" w:hAnsi="Arial" w:cs="Arial"/>
                <w:szCs w:val="28"/>
                <w:lang w:eastAsia="en-US"/>
              </w:rPr>
              <w:br/>
              <w:t>«О безопасности упаковки»</w:t>
            </w:r>
          </w:p>
        </w:tc>
      </w:tr>
    </w:tbl>
    <w:p w:rsidR="00473FFE" w:rsidRDefault="00473FFE" w:rsidP="00473FFE">
      <w:pPr>
        <w:widowControl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473FFE" w:rsidRDefault="00473FFE" w:rsidP="00473FFE">
      <w:pPr>
        <w:widowControl w:val="0"/>
        <w:jc w:val="both"/>
        <w:rPr>
          <w:rFonts w:ascii="Arial" w:hAnsi="Arial" w:cs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85F58A" wp14:editId="41298886">
                <wp:simplePos x="0" y="0"/>
                <wp:positionH relativeFrom="column">
                  <wp:posOffset>0</wp:posOffset>
                </wp:positionH>
                <wp:positionV relativeFrom="paragraph">
                  <wp:posOffset>82550</wp:posOffset>
                </wp:positionV>
                <wp:extent cx="6096000" cy="0"/>
                <wp:effectExtent l="0" t="0" r="19050" b="19050"/>
                <wp:wrapNone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9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5pt" to="480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"/>
            </w:pict>
          </mc:Fallback>
        </mc:AlternateContent>
      </w:r>
    </w:p>
    <w:tbl>
      <w:tblPr>
        <w:tblW w:w="9788" w:type="dxa"/>
        <w:tblLook w:val="01E0" w:firstRow="1" w:lastRow="1" w:firstColumn="1" w:lastColumn="1" w:noHBand="0" w:noVBand="0"/>
      </w:tblPr>
      <w:tblGrid>
        <w:gridCol w:w="4388"/>
        <w:gridCol w:w="2160"/>
        <w:gridCol w:w="1200"/>
        <w:gridCol w:w="2040"/>
      </w:tblGrid>
      <w:tr w:rsidR="00473FFE" w:rsidTr="00D52828">
        <w:tc>
          <w:tcPr>
            <w:tcW w:w="4388" w:type="dxa"/>
            <w:hideMark/>
          </w:tcPr>
          <w:p w:rsidR="00473FFE" w:rsidRPr="00BD172F" w:rsidRDefault="00473FFE" w:rsidP="00D52828">
            <w:pPr>
              <w:widowControl w:val="0"/>
              <w:spacing w:line="276" w:lineRule="auto"/>
              <w:jc w:val="both"/>
              <w:rPr>
                <w:rFonts w:ascii="Arial" w:hAnsi="Arial" w:cs="Arial"/>
                <w:lang w:eastAsia="en-US"/>
              </w:rPr>
            </w:pPr>
            <w:r w:rsidRPr="00BD172F">
              <w:rPr>
                <w:rFonts w:ascii="Arial" w:hAnsi="Arial" w:cs="Arial"/>
                <w:lang w:eastAsia="en-US"/>
              </w:rPr>
              <w:t>УДК(636.2+637.5</w:t>
            </w:r>
            <w:r w:rsidRPr="00BD172F">
              <w:rPr>
                <w:rFonts w:ascii="Arial" w:hAnsi="Arial" w:cs="Arial"/>
                <w:lang w:eastAsia="en-US"/>
              </w:rPr>
              <w:sym w:font="Symbol" w:char="F0A2"/>
            </w:r>
            <w:r w:rsidRPr="00BD172F">
              <w:rPr>
                <w:rFonts w:ascii="Arial" w:hAnsi="Arial" w:cs="Arial"/>
                <w:lang w:eastAsia="en-US"/>
              </w:rPr>
              <w:t>62):006.34</w:t>
            </w:r>
          </w:p>
        </w:tc>
        <w:tc>
          <w:tcPr>
            <w:tcW w:w="2160" w:type="dxa"/>
            <w:hideMark/>
          </w:tcPr>
          <w:p w:rsidR="00473FFE" w:rsidRPr="00BD172F" w:rsidRDefault="00473FFE" w:rsidP="00D52828">
            <w:pPr>
              <w:widowControl w:val="0"/>
              <w:spacing w:line="276" w:lineRule="auto"/>
              <w:jc w:val="right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М</w:t>
            </w:r>
            <w:r w:rsidRPr="00BD172F">
              <w:rPr>
                <w:rFonts w:ascii="Arial" w:hAnsi="Arial" w:cs="Arial"/>
                <w:lang w:eastAsia="en-US"/>
              </w:rPr>
              <w:t>КС 65.020.30</w:t>
            </w:r>
          </w:p>
          <w:p w:rsidR="00473FFE" w:rsidRPr="00BD172F" w:rsidRDefault="00473FFE" w:rsidP="00D52828">
            <w:pPr>
              <w:widowControl w:val="0"/>
              <w:spacing w:line="276" w:lineRule="auto"/>
              <w:jc w:val="right"/>
              <w:rPr>
                <w:rFonts w:ascii="Arial" w:hAnsi="Arial" w:cs="Arial"/>
                <w:lang w:eastAsia="en-US"/>
              </w:rPr>
            </w:pPr>
            <w:r w:rsidRPr="00BD172F">
              <w:rPr>
                <w:rFonts w:ascii="Arial" w:hAnsi="Arial" w:cs="Arial"/>
                <w:lang w:eastAsia="en-US"/>
              </w:rPr>
              <w:t xml:space="preserve">67.120.10               </w:t>
            </w:r>
          </w:p>
        </w:tc>
        <w:tc>
          <w:tcPr>
            <w:tcW w:w="1200" w:type="dxa"/>
          </w:tcPr>
          <w:p w:rsidR="00473FFE" w:rsidRPr="00BD172F" w:rsidRDefault="00473FFE" w:rsidP="00D52828">
            <w:pPr>
              <w:widowControl w:val="0"/>
              <w:spacing w:line="276" w:lineRule="auto"/>
              <w:jc w:val="right"/>
              <w:rPr>
                <w:rFonts w:ascii="Arial" w:hAnsi="Arial" w:cs="Arial"/>
                <w:lang w:eastAsia="en-US"/>
              </w:rPr>
            </w:pPr>
          </w:p>
        </w:tc>
        <w:tc>
          <w:tcPr>
            <w:tcW w:w="2040" w:type="dxa"/>
          </w:tcPr>
          <w:p w:rsidR="00473FFE" w:rsidRPr="00BD172F" w:rsidRDefault="00473FFE" w:rsidP="00D52828">
            <w:pPr>
              <w:widowControl w:val="0"/>
              <w:spacing w:line="276" w:lineRule="auto"/>
              <w:jc w:val="right"/>
              <w:rPr>
                <w:rFonts w:ascii="Arial" w:hAnsi="Arial" w:cs="Arial"/>
                <w:lang w:eastAsia="en-US"/>
              </w:rPr>
            </w:pPr>
          </w:p>
        </w:tc>
      </w:tr>
    </w:tbl>
    <w:p w:rsidR="00473FFE" w:rsidRDefault="00473FFE" w:rsidP="00473FFE">
      <w:pPr>
        <w:widowControl w:val="0"/>
        <w:jc w:val="both"/>
        <w:rPr>
          <w:rFonts w:ascii="Arial" w:hAnsi="Arial" w:cs="Arial"/>
        </w:rPr>
      </w:pPr>
    </w:p>
    <w:p w:rsidR="00473FFE" w:rsidRDefault="00473FFE" w:rsidP="00473FFE">
      <w:pPr>
        <w:widowControl w:val="0"/>
        <w:pBdr>
          <w:bottom w:val="single" w:sz="6" w:space="1" w:color="auto"/>
        </w:pBd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Ключевые слова: крупный рогатый скот для убоя, бык, корова, молодняк, теленок, живая масса,</w:t>
      </w:r>
      <w:r>
        <w:rPr>
          <w:rFonts w:ascii="Arial" w:hAnsi="Arial" w:cs="Arial"/>
          <w:color w:val="000000"/>
          <w:szCs w:val="28"/>
        </w:rPr>
        <w:t xml:space="preserve"> зубная аркада,</w:t>
      </w:r>
      <w:r>
        <w:rPr>
          <w:rFonts w:ascii="Arial" w:hAnsi="Arial" w:cs="Arial"/>
        </w:rPr>
        <w:t xml:space="preserve"> туша, полутуша, четвертина, говядина, телятина, технические требования, категория, упитанность, класс, маркировка, правила приемки, методы контроля, транспортирование, хранение</w:t>
      </w:r>
    </w:p>
    <w:p w:rsidR="00473FFE" w:rsidRDefault="00473FFE" w:rsidP="00473FFE">
      <w:pPr>
        <w:spacing w:after="200" w:line="276" w:lineRule="auto"/>
        <w:rPr>
          <w:rFonts w:ascii="Arial" w:hAnsi="Arial" w:cs="Arial"/>
        </w:rPr>
      </w:pPr>
    </w:p>
    <w:p w:rsidR="00473FFE" w:rsidRDefault="00473FFE" w:rsidP="00473FFE">
      <w:pPr>
        <w:spacing w:line="276" w:lineRule="auto"/>
        <w:rPr>
          <w:rFonts w:ascii="Arial" w:hAnsi="Arial" w:cs="Arial"/>
        </w:rPr>
        <w:sectPr w:rsidR="00473FFE" w:rsidSect="00D52828">
          <w:footerReference w:type="default" r:id="rId48"/>
          <w:headerReference w:type="first" r:id="rId49"/>
          <w:footerReference w:type="first" r:id="rId50"/>
          <w:pgSz w:w="11906" w:h="16838"/>
          <w:pgMar w:top="1134" w:right="991" w:bottom="1134" w:left="1531" w:header="709" w:footer="567" w:gutter="0"/>
          <w:pgNumType w:start="1"/>
          <w:cols w:space="720"/>
          <w:docGrid w:linePitch="326"/>
        </w:sectPr>
      </w:pPr>
    </w:p>
    <w:p w:rsidR="00473FFE" w:rsidRDefault="00473FFE" w:rsidP="00473FFE">
      <w:pPr>
        <w:spacing w:line="360" w:lineRule="auto"/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Разработчики стандарта:</w:t>
      </w:r>
    </w:p>
    <w:p w:rsidR="00473FFE" w:rsidRDefault="00473FFE" w:rsidP="00473FFE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Федеральное государственное бюджетное научное учреждение </w:t>
      </w:r>
    </w:p>
    <w:p w:rsidR="00473FFE" w:rsidRDefault="00473FFE" w:rsidP="00473FFE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«Всероссийский научно-исследовательский институт </w:t>
      </w:r>
    </w:p>
    <w:p w:rsidR="00473FFE" w:rsidRDefault="00473FFE" w:rsidP="00473FFE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мясной промышленности имени В.М. Горбатова»</w:t>
      </w:r>
    </w:p>
    <w:p w:rsidR="00473FFE" w:rsidRDefault="00473FFE" w:rsidP="00473FFE">
      <w:pPr>
        <w:spacing w:line="360" w:lineRule="auto"/>
        <w:jc w:val="center"/>
        <w:rPr>
          <w:rFonts w:ascii="Arial" w:hAnsi="Arial" w:cs="Arial"/>
        </w:rPr>
      </w:pPr>
    </w:p>
    <w:p w:rsidR="00473FFE" w:rsidRDefault="00473FFE" w:rsidP="00473FFE">
      <w:pPr>
        <w:spacing w:line="360" w:lineRule="auto"/>
        <w:jc w:val="center"/>
        <w:rPr>
          <w:rFonts w:ascii="Arial" w:hAnsi="Arial" w:cs="Arial"/>
        </w:rPr>
      </w:pPr>
    </w:p>
    <w:tbl>
      <w:tblPr>
        <w:tblW w:w="9923" w:type="dxa"/>
        <w:tblInd w:w="-317" w:type="dxa"/>
        <w:tblLayout w:type="fixed"/>
        <w:tblLook w:val="04A0" w:firstRow="1" w:lastRow="0" w:firstColumn="1" w:lastColumn="0" w:noHBand="0" w:noVBand="1"/>
      </w:tblPr>
      <w:tblGrid>
        <w:gridCol w:w="4537"/>
        <w:gridCol w:w="2835"/>
        <w:gridCol w:w="2551"/>
      </w:tblGrid>
      <w:tr w:rsidR="00473FFE" w:rsidTr="00D52828">
        <w:tc>
          <w:tcPr>
            <w:tcW w:w="4537" w:type="dxa"/>
            <w:vAlign w:val="bottom"/>
            <w:hideMark/>
          </w:tcPr>
          <w:p w:rsidR="00473FFE" w:rsidRDefault="00473FFE" w:rsidP="00D52828">
            <w:pPr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Дир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ктор</w:t>
            </w:r>
          </w:p>
        </w:tc>
        <w:tc>
          <w:tcPr>
            <w:tcW w:w="2835" w:type="dxa"/>
            <w:vAlign w:val="bottom"/>
          </w:tcPr>
          <w:p w:rsidR="00473FFE" w:rsidRDefault="00473FFE" w:rsidP="00D52828">
            <w:pPr>
              <w:spacing w:line="276" w:lineRule="auto"/>
              <w:ind w:right="177"/>
              <w:jc w:val="right"/>
              <w:rPr>
                <w:rFonts w:ascii="Arial" w:hAnsi="Arial" w:cs="Arial"/>
                <w:lang w:eastAsia="en-US"/>
              </w:rPr>
            </w:pPr>
          </w:p>
        </w:tc>
        <w:tc>
          <w:tcPr>
            <w:tcW w:w="2551" w:type="dxa"/>
            <w:vAlign w:val="bottom"/>
            <w:hideMark/>
          </w:tcPr>
          <w:p w:rsidR="00473FFE" w:rsidRDefault="00473FFE" w:rsidP="00D52828">
            <w:pPr>
              <w:spacing w:line="276" w:lineRule="auto"/>
              <w:jc w:val="right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А.</w:t>
            </w:r>
            <w:r>
              <w:rPr>
                <w:rFonts w:ascii="Arial" w:hAnsi="Arial" w:cs="Arial"/>
                <w:spacing w:val="-2"/>
                <w:szCs w:val="28"/>
                <w:lang w:eastAsia="en-US"/>
              </w:rPr>
              <w:t>Б</w:t>
            </w:r>
            <w:r>
              <w:rPr>
                <w:rFonts w:ascii="Arial" w:hAnsi="Arial" w:cs="Arial"/>
                <w:szCs w:val="28"/>
                <w:lang w:eastAsia="en-US"/>
              </w:rPr>
              <w:t>. Л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и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с</w:t>
            </w:r>
            <w:r>
              <w:rPr>
                <w:rFonts w:ascii="Arial" w:hAnsi="Arial" w:cs="Arial"/>
                <w:szCs w:val="28"/>
                <w:lang w:eastAsia="en-US"/>
              </w:rPr>
              <w:t>ицын</w:t>
            </w:r>
          </w:p>
        </w:tc>
      </w:tr>
      <w:tr w:rsidR="00473FFE" w:rsidTr="00D52828">
        <w:tc>
          <w:tcPr>
            <w:tcW w:w="4537" w:type="dxa"/>
            <w:vAlign w:val="bottom"/>
            <w:hideMark/>
          </w:tcPr>
          <w:p w:rsidR="00473FFE" w:rsidRDefault="00473FFE" w:rsidP="00D52828">
            <w:pPr>
              <w:widowControl w:val="0"/>
              <w:tabs>
                <w:tab w:val="left" w:pos="6534"/>
              </w:tabs>
              <w:suppressAutoHyphens/>
              <w:spacing w:line="276" w:lineRule="auto"/>
              <w:rPr>
                <w:rFonts w:ascii="Arial" w:hAnsi="Arial" w:cs="Arial"/>
                <w:szCs w:val="28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6534"/>
              </w:tabs>
              <w:suppressAutoHyphens/>
              <w:spacing w:line="276" w:lineRule="auto"/>
              <w:rPr>
                <w:rFonts w:ascii="Arial" w:hAnsi="Arial" w:cs="Arial"/>
                <w:spacing w:val="-1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З</w:t>
            </w:r>
            <w:r>
              <w:rPr>
                <w:rFonts w:ascii="Arial" w:hAnsi="Arial" w:cs="Arial"/>
                <w:spacing w:val="-2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меститель</w:t>
            </w:r>
            <w:r>
              <w:rPr>
                <w:rFonts w:ascii="Arial" w:hAnsi="Arial" w:cs="Arial"/>
                <w:szCs w:val="28"/>
                <w:lang w:eastAsia="en-US"/>
              </w:rPr>
              <w:t xml:space="preserve"> д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и</w:t>
            </w:r>
            <w:r>
              <w:rPr>
                <w:rFonts w:ascii="Arial" w:hAnsi="Arial" w:cs="Arial"/>
                <w:szCs w:val="28"/>
                <w:lang w:eastAsia="en-US"/>
              </w:rPr>
              <w:t>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ктора</w:t>
            </w:r>
          </w:p>
          <w:p w:rsidR="00473FFE" w:rsidRDefault="00473FFE" w:rsidP="00D52828">
            <w:pPr>
              <w:suppressAutoHyphens/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по н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pacing w:val="-5"/>
                <w:szCs w:val="28"/>
                <w:lang w:eastAsia="en-US"/>
              </w:rPr>
              <w:t>у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ч</w:t>
            </w:r>
            <w:r>
              <w:rPr>
                <w:rFonts w:ascii="Arial" w:hAnsi="Arial" w:cs="Arial"/>
                <w:szCs w:val="28"/>
                <w:lang w:eastAsia="en-US"/>
              </w:rPr>
              <w:t>ной 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zCs w:val="28"/>
                <w:lang w:eastAsia="en-US"/>
              </w:rPr>
              <w:t>боте</w:t>
            </w:r>
          </w:p>
        </w:tc>
        <w:tc>
          <w:tcPr>
            <w:tcW w:w="2835" w:type="dxa"/>
            <w:vAlign w:val="bottom"/>
          </w:tcPr>
          <w:p w:rsidR="00473FFE" w:rsidRDefault="00473FFE" w:rsidP="00D52828">
            <w:pPr>
              <w:widowControl w:val="0"/>
              <w:tabs>
                <w:tab w:val="left" w:pos="2867"/>
                <w:tab w:val="left" w:pos="6534"/>
              </w:tabs>
              <w:spacing w:line="276" w:lineRule="auto"/>
              <w:ind w:left="-393" w:right="177"/>
              <w:jc w:val="right"/>
              <w:rPr>
                <w:rFonts w:ascii="Arial" w:hAnsi="Arial" w:cs="Arial"/>
                <w:szCs w:val="28"/>
                <w:lang w:eastAsia="en-US"/>
              </w:rPr>
            </w:pPr>
          </w:p>
        </w:tc>
        <w:tc>
          <w:tcPr>
            <w:tcW w:w="2551" w:type="dxa"/>
            <w:vAlign w:val="bottom"/>
            <w:hideMark/>
          </w:tcPr>
          <w:p w:rsidR="00473FFE" w:rsidRDefault="00473FFE" w:rsidP="00D52828">
            <w:pPr>
              <w:widowControl w:val="0"/>
              <w:tabs>
                <w:tab w:val="left" w:pos="6534"/>
              </w:tabs>
              <w:spacing w:line="276" w:lineRule="auto"/>
              <w:jc w:val="right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А.А. С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еме</w:t>
            </w:r>
            <w:r>
              <w:rPr>
                <w:rFonts w:ascii="Arial" w:hAnsi="Arial" w:cs="Arial"/>
                <w:szCs w:val="28"/>
                <w:lang w:eastAsia="en-US"/>
              </w:rPr>
              <w:t>нова</w:t>
            </w:r>
          </w:p>
        </w:tc>
      </w:tr>
      <w:tr w:rsidR="00473FFE" w:rsidTr="00D52828">
        <w:tc>
          <w:tcPr>
            <w:tcW w:w="4537" w:type="dxa"/>
            <w:vAlign w:val="bottom"/>
          </w:tcPr>
          <w:p w:rsidR="00473FFE" w:rsidRDefault="00473FFE" w:rsidP="00D52828">
            <w:pPr>
              <w:widowControl w:val="0"/>
              <w:tabs>
                <w:tab w:val="left" w:pos="9355"/>
              </w:tabs>
              <w:suppressAutoHyphens/>
              <w:spacing w:line="276" w:lineRule="auto"/>
              <w:ind w:right="-1"/>
              <w:rPr>
                <w:rFonts w:ascii="Arial" w:hAnsi="Arial" w:cs="Arial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9355"/>
              </w:tabs>
              <w:suppressAutoHyphens/>
              <w:spacing w:line="276" w:lineRule="auto"/>
              <w:ind w:right="-1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 xml:space="preserve">Научный сотрудник, </w:t>
            </w:r>
            <w:r>
              <w:rPr>
                <w:rFonts w:ascii="Arial" w:hAnsi="Arial" w:cs="Arial"/>
                <w:lang w:eastAsia="en-US"/>
              </w:rPr>
              <w:br/>
              <w:t>руководитель направления</w:t>
            </w:r>
            <w:r>
              <w:rPr>
                <w:rFonts w:ascii="Arial" w:hAnsi="Arial" w:cs="Arial"/>
                <w:szCs w:val="28"/>
                <w:lang w:eastAsia="en-US"/>
              </w:rPr>
              <w:t xml:space="preserve"> </w:t>
            </w:r>
            <w:r>
              <w:rPr>
                <w:rFonts w:ascii="Arial" w:hAnsi="Arial" w:cs="Arial"/>
                <w:szCs w:val="28"/>
                <w:lang w:eastAsia="en-US"/>
              </w:rPr>
              <w:br/>
              <w:t>те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х</w:t>
            </w:r>
            <w:r>
              <w:rPr>
                <w:rFonts w:ascii="Arial" w:hAnsi="Arial" w:cs="Arial"/>
                <w:spacing w:val="-2"/>
                <w:szCs w:val="28"/>
                <w:lang w:eastAsia="en-US"/>
              </w:rPr>
              <w:t>н</w:t>
            </w:r>
            <w:r>
              <w:rPr>
                <w:rFonts w:ascii="Arial" w:hAnsi="Arial" w:cs="Arial"/>
                <w:szCs w:val="28"/>
                <w:lang w:eastAsia="en-US"/>
              </w:rPr>
              <w:t>олог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и</w:t>
            </w:r>
            <w:r>
              <w:rPr>
                <w:rFonts w:ascii="Arial" w:hAnsi="Arial" w:cs="Arial"/>
                <w:szCs w:val="28"/>
                <w:lang w:eastAsia="en-US"/>
              </w:rPr>
              <w:t>и пр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pacing w:val="2"/>
                <w:szCs w:val="28"/>
                <w:lang w:eastAsia="en-US"/>
              </w:rPr>
              <w:t>д</w:t>
            </w:r>
            <w:r>
              <w:rPr>
                <w:rFonts w:ascii="Arial" w:hAnsi="Arial" w:cs="Arial"/>
                <w:spacing w:val="-5"/>
                <w:szCs w:val="28"/>
                <w:lang w:eastAsia="en-US"/>
              </w:rPr>
              <w:t>у</w:t>
            </w:r>
            <w:r>
              <w:rPr>
                <w:rFonts w:ascii="Arial" w:hAnsi="Arial" w:cs="Arial"/>
                <w:szCs w:val="28"/>
                <w:lang w:eastAsia="en-US"/>
              </w:rPr>
              <w:t>бо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й</w:t>
            </w:r>
            <w:r>
              <w:rPr>
                <w:rFonts w:ascii="Arial" w:hAnsi="Arial" w:cs="Arial"/>
                <w:szCs w:val="28"/>
                <w:lang w:eastAsia="en-US"/>
              </w:rPr>
              <w:t>ной подг</w:t>
            </w:r>
            <w:r>
              <w:rPr>
                <w:rFonts w:ascii="Arial" w:hAnsi="Arial" w:cs="Arial"/>
                <w:spacing w:val="-3"/>
                <w:szCs w:val="28"/>
                <w:lang w:eastAsia="en-US"/>
              </w:rPr>
              <w:t>о</w:t>
            </w:r>
            <w:r>
              <w:rPr>
                <w:rFonts w:ascii="Arial" w:hAnsi="Arial" w:cs="Arial"/>
                <w:szCs w:val="28"/>
                <w:lang w:eastAsia="en-US"/>
              </w:rPr>
              <w:t>тов</w:t>
            </w:r>
            <w:r>
              <w:rPr>
                <w:rFonts w:ascii="Arial" w:hAnsi="Arial" w:cs="Arial"/>
                <w:spacing w:val="-2"/>
                <w:szCs w:val="28"/>
                <w:lang w:eastAsia="en-US"/>
              </w:rPr>
              <w:t>к</w:t>
            </w:r>
            <w:r>
              <w:rPr>
                <w:rFonts w:ascii="Arial" w:hAnsi="Arial" w:cs="Arial"/>
                <w:szCs w:val="28"/>
                <w:lang w:eastAsia="en-US"/>
              </w:rPr>
              <w:t>и, п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рви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ч</w:t>
            </w:r>
            <w:r>
              <w:rPr>
                <w:rFonts w:ascii="Arial" w:hAnsi="Arial" w:cs="Arial"/>
                <w:szCs w:val="28"/>
                <w:lang w:eastAsia="en-US"/>
              </w:rPr>
              <w:t>ной п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zCs w:val="28"/>
                <w:lang w:eastAsia="en-US"/>
              </w:rPr>
              <w:t xml:space="preserve">ботки и </w:t>
            </w:r>
            <w:r>
              <w:rPr>
                <w:rFonts w:ascii="Arial" w:hAnsi="Arial" w:cs="Arial"/>
                <w:spacing w:val="-3"/>
                <w:szCs w:val="28"/>
                <w:lang w:eastAsia="en-US"/>
              </w:rPr>
              <w:t>о</w:t>
            </w:r>
            <w:r>
              <w:rPr>
                <w:rFonts w:ascii="Arial" w:hAnsi="Arial" w:cs="Arial"/>
                <w:szCs w:val="28"/>
                <w:lang w:eastAsia="en-US"/>
              </w:rPr>
              <w:t>ц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н</w:t>
            </w:r>
            <w:r>
              <w:rPr>
                <w:rFonts w:ascii="Arial" w:hAnsi="Arial" w:cs="Arial"/>
                <w:spacing w:val="-2"/>
                <w:szCs w:val="28"/>
                <w:lang w:eastAsia="en-US"/>
              </w:rPr>
              <w:t>к</w:t>
            </w:r>
            <w:r>
              <w:rPr>
                <w:rFonts w:ascii="Arial" w:hAnsi="Arial" w:cs="Arial"/>
                <w:szCs w:val="28"/>
                <w:lang w:eastAsia="en-US"/>
              </w:rPr>
              <w:t xml:space="preserve">и </w:t>
            </w:r>
            <w:r>
              <w:rPr>
                <w:rFonts w:ascii="Arial" w:hAnsi="Arial" w:cs="Arial"/>
                <w:spacing w:val="-2"/>
                <w:szCs w:val="28"/>
                <w:lang w:eastAsia="en-US"/>
              </w:rPr>
              <w:t>к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ачес</w:t>
            </w:r>
            <w:r>
              <w:rPr>
                <w:rFonts w:ascii="Arial" w:hAnsi="Arial" w:cs="Arial"/>
                <w:szCs w:val="28"/>
                <w:lang w:eastAsia="en-US"/>
              </w:rPr>
              <w:t>т</w:t>
            </w:r>
            <w:r>
              <w:rPr>
                <w:rFonts w:ascii="Arial" w:hAnsi="Arial" w:cs="Arial"/>
                <w:spacing w:val="4"/>
                <w:szCs w:val="28"/>
                <w:lang w:eastAsia="en-US"/>
              </w:rPr>
              <w:t>в</w:t>
            </w:r>
            <w:r>
              <w:rPr>
                <w:rFonts w:ascii="Arial" w:hAnsi="Arial" w:cs="Arial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 xml:space="preserve"> с</w:t>
            </w:r>
            <w:r>
              <w:rPr>
                <w:rFonts w:ascii="Arial" w:hAnsi="Arial" w:cs="Arial"/>
                <w:szCs w:val="28"/>
                <w:lang w:eastAsia="en-US"/>
              </w:rPr>
              <w:t>ырья</w:t>
            </w:r>
          </w:p>
        </w:tc>
        <w:tc>
          <w:tcPr>
            <w:tcW w:w="2835" w:type="dxa"/>
            <w:vAlign w:val="bottom"/>
          </w:tcPr>
          <w:p w:rsidR="00473FFE" w:rsidRDefault="00473FFE" w:rsidP="00D52828">
            <w:pPr>
              <w:spacing w:line="276" w:lineRule="auto"/>
              <w:ind w:left="-393" w:right="177" w:firstLine="142"/>
              <w:jc w:val="right"/>
              <w:rPr>
                <w:rFonts w:ascii="Arial" w:hAnsi="Arial" w:cs="Arial"/>
                <w:lang w:eastAsia="en-US"/>
              </w:rPr>
            </w:pPr>
          </w:p>
        </w:tc>
        <w:tc>
          <w:tcPr>
            <w:tcW w:w="2551" w:type="dxa"/>
            <w:vAlign w:val="bottom"/>
          </w:tcPr>
          <w:p w:rsidR="00473FFE" w:rsidRDefault="00473FFE" w:rsidP="00D52828">
            <w:pPr>
              <w:spacing w:line="276" w:lineRule="auto"/>
              <w:jc w:val="right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И.В. Козырев</w:t>
            </w:r>
          </w:p>
        </w:tc>
      </w:tr>
      <w:tr w:rsidR="00473FFE" w:rsidTr="00D52828">
        <w:tc>
          <w:tcPr>
            <w:tcW w:w="4537" w:type="dxa"/>
            <w:vAlign w:val="bottom"/>
          </w:tcPr>
          <w:p w:rsidR="00473FFE" w:rsidRDefault="00473FFE" w:rsidP="00D52828">
            <w:pPr>
              <w:widowControl w:val="0"/>
              <w:tabs>
                <w:tab w:val="left" w:pos="9355"/>
              </w:tabs>
              <w:suppressAutoHyphens/>
              <w:spacing w:line="276" w:lineRule="auto"/>
              <w:ind w:right="-1"/>
              <w:rPr>
                <w:rFonts w:ascii="Arial" w:hAnsi="Arial" w:cs="Arial"/>
                <w:szCs w:val="28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9355"/>
              </w:tabs>
              <w:suppressAutoHyphens/>
              <w:spacing w:line="276" w:lineRule="auto"/>
              <w:ind w:right="-1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Старший научный сотрудник</w:t>
            </w:r>
          </w:p>
          <w:p w:rsidR="00473FFE" w:rsidRDefault="00473FFE" w:rsidP="00D52828">
            <w:pPr>
              <w:suppressAutoHyphens/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отдела научно-прикладных</w:t>
            </w:r>
            <w:r>
              <w:rPr>
                <w:rFonts w:ascii="Arial" w:hAnsi="Arial" w:cs="Arial"/>
                <w:szCs w:val="28"/>
                <w:lang w:eastAsia="en-US"/>
              </w:rPr>
              <w:br/>
              <w:t>и технологических разработок</w:t>
            </w:r>
          </w:p>
        </w:tc>
        <w:tc>
          <w:tcPr>
            <w:tcW w:w="2835" w:type="dxa"/>
            <w:vAlign w:val="bottom"/>
          </w:tcPr>
          <w:p w:rsidR="00473FFE" w:rsidRDefault="00473FFE" w:rsidP="00D52828">
            <w:pPr>
              <w:widowControl w:val="0"/>
              <w:tabs>
                <w:tab w:val="left" w:pos="9355"/>
              </w:tabs>
              <w:spacing w:line="276" w:lineRule="auto"/>
              <w:ind w:left="-393" w:right="460" w:firstLine="283"/>
              <w:jc w:val="right"/>
              <w:rPr>
                <w:rFonts w:ascii="Arial" w:hAnsi="Arial" w:cs="Arial"/>
                <w:szCs w:val="28"/>
                <w:lang w:eastAsia="en-US"/>
              </w:rPr>
            </w:pPr>
          </w:p>
        </w:tc>
        <w:tc>
          <w:tcPr>
            <w:tcW w:w="2551" w:type="dxa"/>
            <w:vAlign w:val="bottom"/>
          </w:tcPr>
          <w:p w:rsidR="00473FFE" w:rsidRDefault="00473FFE" w:rsidP="00D52828">
            <w:pPr>
              <w:widowControl w:val="0"/>
              <w:tabs>
                <w:tab w:val="left" w:pos="9355"/>
              </w:tabs>
              <w:spacing w:line="276" w:lineRule="auto"/>
              <w:ind w:right="-1"/>
              <w:jc w:val="right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Т.М. Миттельштейн</w:t>
            </w:r>
          </w:p>
        </w:tc>
      </w:tr>
      <w:tr w:rsidR="00473FFE" w:rsidTr="00D52828">
        <w:tc>
          <w:tcPr>
            <w:tcW w:w="4537" w:type="dxa"/>
          </w:tcPr>
          <w:p w:rsidR="00473FFE" w:rsidRDefault="00473FFE" w:rsidP="00D52828">
            <w:pPr>
              <w:widowControl w:val="0"/>
              <w:tabs>
                <w:tab w:val="left" w:pos="6498"/>
              </w:tabs>
              <w:suppressAutoHyphens/>
              <w:spacing w:line="276" w:lineRule="auto"/>
              <w:ind w:right="741"/>
              <w:rPr>
                <w:rFonts w:ascii="Arial" w:hAnsi="Arial" w:cs="Arial"/>
                <w:szCs w:val="28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6498"/>
              </w:tabs>
              <w:suppressAutoHyphens/>
              <w:spacing w:line="276" w:lineRule="auto"/>
              <w:ind w:right="741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Руководитель отдела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 xml:space="preserve"> «Технического регулирования</w:t>
            </w:r>
            <w:r>
              <w:rPr>
                <w:rFonts w:ascii="Arial" w:hAnsi="Arial" w:cs="Arial"/>
                <w:szCs w:val="28"/>
                <w:lang w:eastAsia="en-US"/>
              </w:rPr>
              <w:t xml:space="preserve"> и 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с</w:t>
            </w:r>
            <w:r>
              <w:rPr>
                <w:rFonts w:ascii="Arial" w:hAnsi="Arial" w:cs="Arial"/>
                <w:szCs w:val="28"/>
                <w:lang w:eastAsia="en-US"/>
              </w:rPr>
              <w:t>и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с</w:t>
            </w:r>
            <w:r>
              <w:rPr>
                <w:rFonts w:ascii="Arial" w:hAnsi="Arial" w:cs="Arial"/>
                <w:szCs w:val="28"/>
                <w:lang w:eastAsia="en-US"/>
              </w:rPr>
              <w:t>т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 xml:space="preserve">м </w:t>
            </w:r>
            <w:r>
              <w:rPr>
                <w:rFonts w:ascii="Arial" w:hAnsi="Arial" w:cs="Arial"/>
                <w:spacing w:val="-5"/>
                <w:szCs w:val="28"/>
                <w:lang w:eastAsia="en-US"/>
              </w:rPr>
              <w:t>у</w:t>
            </w:r>
            <w:r>
              <w:rPr>
                <w:rFonts w:ascii="Arial" w:hAnsi="Arial" w:cs="Arial"/>
                <w:szCs w:val="28"/>
                <w:lang w:eastAsia="en-US"/>
              </w:rPr>
              <w:t>пр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zCs w:val="28"/>
                <w:lang w:eastAsia="en-US"/>
              </w:rPr>
              <w:t>в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л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е</w:t>
            </w:r>
            <w:r>
              <w:rPr>
                <w:rFonts w:ascii="Arial" w:hAnsi="Arial" w:cs="Arial"/>
                <w:szCs w:val="28"/>
                <w:lang w:eastAsia="en-US"/>
              </w:rPr>
              <w:t>ния к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ачес</w:t>
            </w:r>
            <w:r>
              <w:rPr>
                <w:rFonts w:ascii="Arial" w:hAnsi="Arial" w:cs="Arial"/>
                <w:szCs w:val="28"/>
                <w:lang w:eastAsia="en-US"/>
              </w:rPr>
              <w:t>тв</w:t>
            </w:r>
            <w:r>
              <w:rPr>
                <w:rFonts w:ascii="Arial" w:hAnsi="Arial" w:cs="Arial"/>
                <w:spacing w:val="1"/>
                <w:szCs w:val="28"/>
                <w:lang w:eastAsia="en-US"/>
              </w:rPr>
              <w:t>о</w:t>
            </w:r>
            <w:r>
              <w:rPr>
                <w:rFonts w:ascii="Arial" w:hAnsi="Arial" w:cs="Arial"/>
                <w:szCs w:val="28"/>
                <w:lang w:eastAsia="en-US"/>
              </w:rPr>
              <w:t>м»</w:t>
            </w:r>
          </w:p>
        </w:tc>
        <w:tc>
          <w:tcPr>
            <w:tcW w:w="2835" w:type="dxa"/>
            <w:vAlign w:val="bottom"/>
          </w:tcPr>
          <w:p w:rsidR="00473FFE" w:rsidRDefault="00473FFE" w:rsidP="00D52828">
            <w:pPr>
              <w:widowControl w:val="0"/>
              <w:tabs>
                <w:tab w:val="left" w:pos="2867"/>
                <w:tab w:val="left" w:pos="6498"/>
              </w:tabs>
              <w:spacing w:line="276" w:lineRule="auto"/>
              <w:ind w:left="-393" w:right="177"/>
              <w:jc w:val="right"/>
              <w:rPr>
                <w:rFonts w:ascii="Arial" w:hAnsi="Arial" w:cs="Arial"/>
                <w:szCs w:val="28"/>
                <w:lang w:eastAsia="en-US"/>
              </w:rPr>
            </w:pPr>
          </w:p>
        </w:tc>
        <w:tc>
          <w:tcPr>
            <w:tcW w:w="2551" w:type="dxa"/>
          </w:tcPr>
          <w:p w:rsidR="00473FFE" w:rsidRDefault="00473FFE" w:rsidP="00D52828">
            <w:pPr>
              <w:widowControl w:val="0"/>
              <w:tabs>
                <w:tab w:val="left" w:pos="6498"/>
              </w:tabs>
              <w:spacing w:line="276" w:lineRule="auto"/>
              <w:ind w:right="-1"/>
              <w:jc w:val="right"/>
              <w:rPr>
                <w:rFonts w:ascii="Arial" w:hAnsi="Arial" w:cs="Arial"/>
                <w:szCs w:val="28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6498"/>
              </w:tabs>
              <w:spacing w:line="276" w:lineRule="auto"/>
              <w:ind w:right="-1"/>
              <w:jc w:val="right"/>
              <w:rPr>
                <w:rFonts w:ascii="Arial" w:hAnsi="Arial" w:cs="Arial"/>
                <w:szCs w:val="28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6498"/>
              </w:tabs>
              <w:spacing w:line="276" w:lineRule="auto"/>
              <w:ind w:right="-1"/>
              <w:jc w:val="right"/>
              <w:rPr>
                <w:rFonts w:ascii="Arial" w:hAnsi="Arial" w:cs="Arial"/>
                <w:szCs w:val="28"/>
                <w:lang w:eastAsia="en-US"/>
              </w:rPr>
            </w:pPr>
          </w:p>
          <w:p w:rsidR="00473FFE" w:rsidRDefault="00473FFE" w:rsidP="00D52828">
            <w:pPr>
              <w:widowControl w:val="0"/>
              <w:tabs>
                <w:tab w:val="left" w:pos="6498"/>
              </w:tabs>
              <w:spacing w:line="276" w:lineRule="auto"/>
              <w:ind w:right="-1"/>
              <w:jc w:val="right"/>
              <w:rPr>
                <w:rFonts w:ascii="Arial" w:hAnsi="Arial" w:cs="Arial"/>
                <w:szCs w:val="28"/>
                <w:lang w:eastAsia="en-US"/>
              </w:rPr>
            </w:pPr>
            <w:r>
              <w:rPr>
                <w:rFonts w:ascii="Arial" w:hAnsi="Arial" w:cs="Arial"/>
                <w:szCs w:val="28"/>
                <w:lang w:eastAsia="en-US"/>
              </w:rPr>
              <w:t>З.</w:t>
            </w:r>
            <w:r>
              <w:rPr>
                <w:rFonts w:ascii="Arial" w:hAnsi="Arial" w:cs="Arial"/>
                <w:spacing w:val="-1"/>
                <w:szCs w:val="28"/>
                <w:lang w:eastAsia="en-US"/>
              </w:rPr>
              <w:t>А</w:t>
            </w:r>
            <w:r>
              <w:rPr>
                <w:rFonts w:ascii="Arial" w:hAnsi="Arial" w:cs="Arial"/>
                <w:szCs w:val="28"/>
                <w:lang w:eastAsia="en-US"/>
              </w:rPr>
              <w:t>. </w:t>
            </w:r>
            <w:r>
              <w:rPr>
                <w:rFonts w:ascii="Arial" w:hAnsi="Arial" w:cs="Arial"/>
                <w:spacing w:val="2"/>
                <w:szCs w:val="28"/>
                <w:lang w:eastAsia="en-US"/>
              </w:rPr>
              <w:t>Юрчак</w:t>
            </w:r>
          </w:p>
        </w:tc>
      </w:tr>
    </w:tbl>
    <w:p w:rsidR="00473FFE" w:rsidRDefault="00473FFE" w:rsidP="00473FFE">
      <w:pPr>
        <w:widowControl w:val="0"/>
        <w:spacing w:line="360" w:lineRule="auto"/>
        <w:jc w:val="both"/>
        <w:rPr>
          <w:rFonts w:ascii="Arial" w:hAnsi="Arial" w:cs="Arial"/>
        </w:rPr>
      </w:pPr>
    </w:p>
    <w:p w:rsidR="00473FFE" w:rsidRDefault="00473FFE" w:rsidP="00473FFE"/>
    <w:p w:rsidR="007E6C82" w:rsidRDefault="007E6C82"/>
    <w:sectPr w:rsidR="007E6C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2B68" w:rsidRDefault="00602B68">
      <w:r>
        <w:separator/>
      </w:r>
    </w:p>
  </w:endnote>
  <w:endnote w:type="continuationSeparator" w:id="0">
    <w:p w:rsidR="00602B68" w:rsidRDefault="00602B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Arial" w:hAnsi="Arial" w:cs="Arial"/>
        <w:sz w:val="22"/>
      </w:rPr>
      <w:id w:val="800655867"/>
      <w:docPartObj>
        <w:docPartGallery w:val="Page Numbers (Bottom of Page)"/>
        <w:docPartUnique/>
      </w:docPartObj>
    </w:sdtPr>
    <w:sdtEndPr/>
    <w:sdtContent>
      <w:p w:rsidR="00D52828" w:rsidRPr="006D679E" w:rsidRDefault="00D52828">
        <w:pPr>
          <w:pStyle w:val="a6"/>
          <w:rPr>
            <w:rFonts w:ascii="Arial" w:hAnsi="Arial" w:cs="Arial"/>
            <w:sz w:val="22"/>
          </w:rPr>
        </w:pPr>
        <w:r w:rsidRPr="006D679E">
          <w:rPr>
            <w:rFonts w:ascii="Arial" w:hAnsi="Arial" w:cs="Arial"/>
            <w:sz w:val="22"/>
          </w:rPr>
          <w:fldChar w:fldCharType="begin"/>
        </w:r>
        <w:r w:rsidRPr="006D679E">
          <w:rPr>
            <w:rFonts w:ascii="Arial" w:hAnsi="Arial" w:cs="Arial"/>
            <w:sz w:val="22"/>
          </w:rPr>
          <w:instrText>PAGE   \* MERGEFORMAT</w:instrText>
        </w:r>
        <w:r w:rsidRPr="006D679E">
          <w:rPr>
            <w:rFonts w:ascii="Arial" w:hAnsi="Arial" w:cs="Arial"/>
            <w:sz w:val="22"/>
          </w:rPr>
          <w:fldChar w:fldCharType="separate"/>
        </w:r>
        <w:r>
          <w:rPr>
            <w:rFonts w:ascii="Arial" w:hAnsi="Arial" w:cs="Arial"/>
            <w:noProof/>
            <w:sz w:val="22"/>
          </w:rPr>
          <w:t>20</w:t>
        </w:r>
        <w:r w:rsidRPr="006D679E">
          <w:rPr>
            <w:rFonts w:ascii="Arial" w:hAnsi="Arial" w:cs="Arial"/>
            <w:sz w:val="22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Arial" w:hAnsi="Arial" w:cs="Arial"/>
        <w:sz w:val="22"/>
      </w:rPr>
      <w:id w:val="919520248"/>
      <w:docPartObj>
        <w:docPartGallery w:val="Page Numbers (Bottom of Page)"/>
        <w:docPartUnique/>
      </w:docPartObj>
    </w:sdtPr>
    <w:sdtEndPr/>
    <w:sdtContent>
      <w:p w:rsidR="00D52828" w:rsidRPr="006D679E" w:rsidRDefault="00D52828">
        <w:pPr>
          <w:pStyle w:val="a6"/>
          <w:jc w:val="right"/>
          <w:rPr>
            <w:rFonts w:ascii="Arial" w:hAnsi="Arial" w:cs="Arial"/>
            <w:sz w:val="22"/>
          </w:rPr>
        </w:pPr>
        <w:r w:rsidRPr="006D679E">
          <w:rPr>
            <w:rFonts w:ascii="Arial" w:hAnsi="Arial" w:cs="Arial"/>
            <w:sz w:val="22"/>
          </w:rPr>
          <w:fldChar w:fldCharType="begin"/>
        </w:r>
        <w:r w:rsidRPr="006D679E">
          <w:rPr>
            <w:rFonts w:ascii="Arial" w:hAnsi="Arial" w:cs="Arial"/>
            <w:sz w:val="22"/>
          </w:rPr>
          <w:instrText>PAGE   \* MERGEFORMAT</w:instrText>
        </w:r>
        <w:r w:rsidRPr="006D679E">
          <w:rPr>
            <w:rFonts w:ascii="Arial" w:hAnsi="Arial" w:cs="Arial"/>
            <w:sz w:val="22"/>
          </w:rPr>
          <w:fldChar w:fldCharType="separate"/>
        </w:r>
        <w:r w:rsidR="00E41BFE">
          <w:rPr>
            <w:rFonts w:ascii="Arial" w:hAnsi="Arial" w:cs="Arial"/>
            <w:noProof/>
            <w:sz w:val="22"/>
          </w:rPr>
          <w:t>IV</w:t>
        </w:r>
        <w:r w:rsidRPr="006D679E">
          <w:rPr>
            <w:rFonts w:ascii="Arial" w:hAnsi="Arial" w:cs="Arial"/>
            <w:sz w:val="22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Arial" w:hAnsi="Arial" w:cs="Arial"/>
        <w:sz w:val="22"/>
      </w:rPr>
      <w:id w:val="-2086677713"/>
      <w:docPartObj>
        <w:docPartGallery w:val="Page Numbers (Bottom of Page)"/>
        <w:docPartUnique/>
      </w:docPartObj>
    </w:sdtPr>
    <w:sdtEndPr/>
    <w:sdtContent>
      <w:p w:rsidR="00D52828" w:rsidRPr="006D679E" w:rsidRDefault="00D52828">
        <w:pPr>
          <w:pStyle w:val="a6"/>
          <w:jc w:val="right"/>
          <w:rPr>
            <w:rFonts w:ascii="Arial" w:hAnsi="Arial" w:cs="Arial"/>
            <w:sz w:val="22"/>
          </w:rPr>
        </w:pPr>
        <w:r w:rsidRPr="006D679E">
          <w:rPr>
            <w:rFonts w:ascii="Arial" w:hAnsi="Arial" w:cs="Arial"/>
            <w:sz w:val="22"/>
          </w:rPr>
          <w:fldChar w:fldCharType="begin"/>
        </w:r>
        <w:r w:rsidRPr="006D679E">
          <w:rPr>
            <w:rFonts w:ascii="Arial" w:hAnsi="Arial" w:cs="Arial"/>
            <w:sz w:val="22"/>
          </w:rPr>
          <w:instrText>PAGE   \* MERGEFORMAT</w:instrText>
        </w:r>
        <w:r w:rsidRPr="006D679E">
          <w:rPr>
            <w:rFonts w:ascii="Arial" w:hAnsi="Arial" w:cs="Arial"/>
            <w:sz w:val="22"/>
          </w:rPr>
          <w:fldChar w:fldCharType="separate"/>
        </w:r>
        <w:r w:rsidR="00E41BFE">
          <w:rPr>
            <w:rFonts w:ascii="Arial" w:hAnsi="Arial" w:cs="Arial"/>
            <w:noProof/>
            <w:sz w:val="22"/>
          </w:rPr>
          <w:t>24</w:t>
        </w:r>
        <w:r w:rsidRPr="006D679E">
          <w:rPr>
            <w:rFonts w:ascii="Arial" w:hAnsi="Arial" w:cs="Arial"/>
            <w:sz w:val="22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828" w:rsidRPr="00FB099D" w:rsidRDefault="00D52828">
    <w:pPr>
      <w:pStyle w:val="a6"/>
      <w:pBdr>
        <w:bottom w:val="single" w:sz="12" w:space="1" w:color="auto"/>
      </w:pBdr>
      <w:rPr>
        <w:sz w:val="2"/>
        <w:szCs w:val="2"/>
      </w:rPr>
    </w:pPr>
  </w:p>
  <w:p w:rsidR="00D52828" w:rsidRPr="00FB099D" w:rsidRDefault="00D52828" w:rsidP="00D52828">
    <w:pPr>
      <w:pBdr>
        <w:bottom w:val="single" w:sz="12" w:space="1" w:color="auto"/>
      </w:pBdr>
      <w:tabs>
        <w:tab w:val="center" w:pos="4677"/>
        <w:tab w:val="right" w:pos="9355"/>
      </w:tabs>
      <w:spacing w:line="360" w:lineRule="auto"/>
      <w:jc w:val="both"/>
      <w:rPr>
        <w:rFonts w:ascii="Arial" w:hAnsi="Arial"/>
        <w:sz w:val="4"/>
        <w:szCs w:val="2"/>
        <w:lang w:eastAsia="x-none"/>
      </w:rPr>
    </w:pPr>
  </w:p>
  <w:p w:rsidR="00D52828" w:rsidRPr="00FB099D" w:rsidRDefault="00D52828" w:rsidP="00D52828">
    <w:pPr>
      <w:tabs>
        <w:tab w:val="center" w:pos="4677"/>
        <w:tab w:val="right" w:pos="9355"/>
      </w:tabs>
      <w:spacing w:line="360" w:lineRule="auto"/>
      <w:jc w:val="both"/>
      <w:rPr>
        <w:rFonts w:ascii="Arial" w:hAnsi="Arial"/>
        <w:b/>
        <w:i/>
        <w:sz w:val="22"/>
        <w:szCs w:val="20"/>
        <w:lang w:eastAsia="x-none"/>
      </w:rPr>
    </w:pPr>
    <w:r w:rsidRPr="00FB099D">
      <w:rPr>
        <w:rFonts w:ascii="Arial" w:hAnsi="Arial"/>
        <w:b/>
        <w:i/>
        <w:szCs w:val="20"/>
        <w:lang w:eastAsia="x-none"/>
      </w:rPr>
      <w:t>Проект, окончательная редакция</w:t>
    </w:r>
    <w:r>
      <w:rPr>
        <w:rFonts w:ascii="Arial" w:hAnsi="Arial"/>
        <w:noProof/>
        <w:sz w:val="28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D1EBDB0" wp14:editId="3F5FDAFC">
              <wp:simplePos x="0" y="0"/>
              <wp:positionH relativeFrom="page">
                <wp:posOffset>6692900</wp:posOffset>
              </wp:positionH>
              <wp:positionV relativeFrom="page">
                <wp:posOffset>9972040</wp:posOffset>
              </wp:positionV>
              <wp:extent cx="328295" cy="332105"/>
              <wp:effectExtent l="0" t="0" r="0" b="0"/>
              <wp:wrapNone/>
              <wp:docPr id="15" name="Поле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8295" cy="3321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D52828" w:rsidRPr="00FB099D" w:rsidRDefault="00D52828" w:rsidP="00D52828">
                          <w:pPr>
                            <w:pStyle w:val="a6"/>
                            <w:jc w:val="right"/>
                            <w:rPr>
                              <w:rFonts w:ascii="Arial" w:hAnsi="Arial" w:cs="Arial"/>
                              <w:color w:val="000000"/>
                              <w:sz w:val="22"/>
                              <w:szCs w:val="40"/>
                            </w:rPr>
                          </w:pPr>
                          <w:r w:rsidRPr="00FB099D">
                            <w:rPr>
                              <w:rFonts w:ascii="Arial" w:hAnsi="Arial" w:cs="Arial"/>
                              <w:color w:val="000000"/>
                              <w:sz w:val="22"/>
                              <w:szCs w:val="40"/>
                            </w:rPr>
                            <w:fldChar w:fldCharType="begin"/>
                          </w:r>
                          <w:r w:rsidRPr="00FB099D">
                            <w:rPr>
                              <w:rFonts w:ascii="Arial" w:hAnsi="Arial" w:cs="Arial"/>
                              <w:color w:val="000000"/>
                              <w:sz w:val="22"/>
                              <w:szCs w:val="40"/>
                            </w:rPr>
                            <w:instrText>PAGE  \* Arabic  \* MERGEFORMAT</w:instrText>
                          </w:r>
                          <w:r w:rsidRPr="00FB099D">
                            <w:rPr>
                              <w:rFonts w:ascii="Arial" w:hAnsi="Arial" w:cs="Arial"/>
                              <w:color w:val="000000"/>
                              <w:sz w:val="22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rFonts w:ascii="Arial" w:hAnsi="Arial" w:cs="Arial"/>
                              <w:noProof/>
                              <w:color w:val="000000"/>
                              <w:sz w:val="22"/>
                              <w:szCs w:val="40"/>
                            </w:rPr>
                            <w:t>1</w:t>
                          </w:r>
                          <w:r w:rsidRPr="00FB099D">
                            <w:rPr>
                              <w:rFonts w:ascii="Arial" w:hAnsi="Arial" w:cs="Arial"/>
                              <w:color w:val="000000"/>
                              <w:sz w:val="22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5" o:spid="_x0000_s1026" type="#_x0000_t202" style="position:absolute;left:0;text-align:left;margin-left:527pt;margin-top:785.2pt;width:25.85pt;height:26.1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" filled="f" stroked="f" strokeweight=".5pt">
              <v:path arrowok="t"/>
              <v:textbox style="mso-fit-shape-to-text:t">
                <w:txbxContent>
                  <w:p w:rsidR="00D52828" w:rsidRPr="00FB099D" w:rsidRDefault="00D52828" w:rsidP="00D52828">
                    <w:pPr>
                      <w:pStyle w:val="a6"/>
                      <w:jc w:val="right"/>
                      <w:rPr>
                        <w:rFonts w:ascii="Arial" w:hAnsi="Arial" w:cs="Arial"/>
                        <w:color w:val="000000"/>
                        <w:sz w:val="22"/>
                        <w:szCs w:val="40"/>
                      </w:rPr>
                    </w:pPr>
                    <w:r w:rsidRPr="00FB099D">
                      <w:rPr>
                        <w:rFonts w:ascii="Arial" w:hAnsi="Arial" w:cs="Arial"/>
                        <w:color w:val="000000"/>
                        <w:sz w:val="22"/>
                        <w:szCs w:val="40"/>
                      </w:rPr>
                      <w:fldChar w:fldCharType="begin"/>
                    </w:r>
                    <w:r w:rsidRPr="00FB099D">
                      <w:rPr>
                        <w:rFonts w:ascii="Arial" w:hAnsi="Arial" w:cs="Arial"/>
                        <w:color w:val="000000"/>
                        <w:sz w:val="22"/>
                        <w:szCs w:val="40"/>
                      </w:rPr>
                      <w:instrText>PAGE  \* Arabic  \* MERGEFORMAT</w:instrText>
                    </w:r>
                    <w:r w:rsidRPr="00FB099D">
                      <w:rPr>
                        <w:rFonts w:ascii="Arial" w:hAnsi="Arial" w:cs="Arial"/>
                        <w:color w:val="000000"/>
                        <w:sz w:val="22"/>
                        <w:szCs w:val="40"/>
                      </w:rPr>
                      <w:fldChar w:fldCharType="separate"/>
                    </w:r>
                    <w:r>
                      <w:rPr>
                        <w:rFonts w:ascii="Arial" w:hAnsi="Arial" w:cs="Arial"/>
                        <w:noProof/>
                        <w:color w:val="000000"/>
                        <w:sz w:val="22"/>
                        <w:szCs w:val="40"/>
                      </w:rPr>
                      <w:t>1</w:t>
                    </w:r>
                    <w:r w:rsidRPr="00FB099D">
                      <w:rPr>
                        <w:rFonts w:ascii="Arial" w:hAnsi="Arial" w:cs="Arial"/>
                        <w:color w:val="000000"/>
                        <w:sz w:val="22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D52828" w:rsidRDefault="00D52828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2B68" w:rsidRDefault="00602B68">
      <w:r>
        <w:separator/>
      </w:r>
    </w:p>
  </w:footnote>
  <w:footnote w:type="continuationSeparator" w:id="0">
    <w:p w:rsidR="00602B68" w:rsidRDefault="00602B6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828" w:rsidRPr="006D679E" w:rsidRDefault="00D52828" w:rsidP="00D52828">
    <w:pPr>
      <w:tabs>
        <w:tab w:val="center" w:pos="4153"/>
        <w:tab w:val="right" w:pos="8306"/>
      </w:tabs>
      <w:rPr>
        <w:rFonts w:ascii="Arial" w:hAnsi="Arial" w:cs="Arial"/>
        <w:b/>
        <w:sz w:val="22"/>
      </w:rPr>
    </w:pPr>
    <w:r w:rsidRPr="006D679E">
      <w:rPr>
        <w:rFonts w:ascii="Arial" w:hAnsi="Arial" w:cs="Arial"/>
        <w:b/>
        <w:sz w:val="22"/>
      </w:rPr>
      <w:t>ГОСТ (</w:t>
    </w:r>
    <w:r w:rsidRPr="006D679E">
      <w:rPr>
        <w:rFonts w:ascii="Arial" w:hAnsi="Arial" w:cs="Arial"/>
        <w:b/>
        <w:i/>
        <w:sz w:val="22"/>
        <w:lang w:val="en-US"/>
      </w:rPr>
      <w:t xml:space="preserve">RU, </w:t>
    </w:r>
    <w:r w:rsidRPr="006D679E">
      <w:rPr>
        <w:rFonts w:ascii="Arial" w:hAnsi="Arial" w:cs="Arial"/>
        <w:b/>
        <w:i/>
        <w:sz w:val="22"/>
      </w:rPr>
      <w:t>первая редакция</w:t>
    </w:r>
    <w:r w:rsidRPr="006D679E">
      <w:rPr>
        <w:rFonts w:ascii="Arial" w:hAnsi="Arial" w:cs="Arial"/>
        <w:b/>
        <w:sz w:val="22"/>
      </w:rPr>
      <w:t>)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828" w:rsidRPr="006D679E" w:rsidRDefault="00D52828" w:rsidP="00D52828">
    <w:pPr>
      <w:tabs>
        <w:tab w:val="center" w:pos="4153"/>
        <w:tab w:val="right" w:pos="8306"/>
      </w:tabs>
      <w:rPr>
        <w:rFonts w:ascii="Arial" w:hAnsi="Arial" w:cs="Arial"/>
        <w:b/>
        <w:sz w:val="22"/>
      </w:rPr>
    </w:pPr>
    <w:r w:rsidRPr="006D679E">
      <w:rPr>
        <w:rFonts w:ascii="Arial" w:hAnsi="Arial" w:cs="Arial"/>
        <w:b/>
        <w:sz w:val="22"/>
      </w:rPr>
      <w:t>ГОСТ (</w:t>
    </w:r>
    <w:r w:rsidRPr="006D679E">
      <w:rPr>
        <w:rFonts w:ascii="Arial" w:hAnsi="Arial" w:cs="Arial"/>
        <w:b/>
        <w:i/>
        <w:sz w:val="22"/>
        <w:lang w:val="en-US"/>
      </w:rPr>
      <w:t xml:space="preserve">RU, </w:t>
    </w:r>
    <w:r w:rsidRPr="006D679E">
      <w:rPr>
        <w:rFonts w:ascii="Arial" w:hAnsi="Arial" w:cs="Arial"/>
        <w:b/>
        <w:i/>
        <w:sz w:val="22"/>
      </w:rPr>
      <w:t>первая редакция</w:t>
    </w:r>
    <w:r w:rsidRPr="006D679E">
      <w:rPr>
        <w:rFonts w:ascii="Arial" w:hAnsi="Arial" w:cs="Arial"/>
        <w:b/>
        <w:sz w:val="22"/>
      </w:rPr>
      <w:t>)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828" w:rsidRPr="006D679E" w:rsidRDefault="00D52828" w:rsidP="00D52828">
    <w:pPr>
      <w:tabs>
        <w:tab w:val="center" w:pos="4153"/>
        <w:tab w:val="right" w:pos="8306"/>
      </w:tabs>
      <w:rPr>
        <w:rFonts w:ascii="Arial" w:hAnsi="Arial" w:cs="Arial"/>
        <w:b/>
        <w:sz w:val="22"/>
      </w:rPr>
    </w:pPr>
    <w:r w:rsidRPr="006D679E">
      <w:rPr>
        <w:rFonts w:ascii="Arial" w:hAnsi="Arial" w:cs="Arial"/>
        <w:b/>
        <w:sz w:val="22"/>
      </w:rPr>
      <w:t>ГОСТ (</w:t>
    </w:r>
    <w:r w:rsidRPr="003A5CAC">
      <w:rPr>
        <w:rFonts w:ascii="Arial" w:hAnsi="Arial" w:cs="Arial"/>
        <w:b/>
        <w:i/>
        <w:sz w:val="22"/>
      </w:rPr>
      <w:t>проект</w:t>
    </w:r>
    <w:r>
      <w:rPr>
        <w:rFonts w:ascii="Arial" w:hAnsi="Arial" w:cs="Arial"/>
        <w:b/>
        <w:sz w:val="22"/>
      </w:rPr>
      <w:t xml:space="preserve">, </w:t>
    </w:r>
    <w:r w:rsidRPr="006D679E">
      <w:rPr>
        <w:rFonts w:ascii="Arial" w:hAnsi="Arial" w:cs="Arial"/>
        <w:b/>
        <w:i/>
        <w:sz w:val="22"/>
        <w:lang w:val="en-US"/>
      </w:rPr>
      <w:t>RU</w:t>
    </w:r>
    <w:r w:rsidRPr="003A5CAC">
      <w:rPr>
        <w:rFonts w:ascii="Arial" w:hAnsi="Arial" w:cs="Arial"/>
        <w:b/>
        <w:i/>
        <w:sz w:val="22"/>
      </w:rPr>
      <w:t xml:space="preserve">, </w:t>
    </w:r>
    <w:r>
      <w:rPr>
        <w:rFonts w:ascii="Arial" w:hAnsi="Arial" w:cs="Arial"/>
        <w:b/>
        <w:i/>
        <w:sz w:val="22"/>
      </w:rPr>
      <w:t>окончательн</w:t>
    </w:r>
    <w:r w:rsidRPr="006D679E">
      <w:rPr>
        <w:rFonts w:ascii="Arial" w:hAnsi="Arial" w:cs="Arial"/>
        <w:b/>
        <w:i/>
        <w:sz w:val="22"/>
      </w:rPr>
      <w:t>ая редакция</w:t>
    </w:r>
    <w:r w:rsidRPr="006D679E">
      <w:rPr>
        <w:rFonts w:ascii="Arial" w:hAnsi="Arial" w:cs="Arial"/>
        <w:b/>
        <w:sz w:val="22"/>
      </w:rPr>
      <w:t>)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828" w:rsidRPr="006D679E" w:rsidRDefault="00D52828" w:rsidP="00D52828">
    <w:pPr>
      <w:tabs>
        <w:tab w:val="center" w:pos="4153"/>
        <w:tab w:val="right" w:pos="8306"/>
      </w:tabs>
      <w:jc w:val="right"/>
      <w:rPr>
        <w:rFonts w:ascii="Arial" w:hAnsi="Arial" w:cs="Arial"/>
        <w:b/>
        <w:sz w:val="22"/>
      </w:rPr>
    </w:pPr>
    <w:r w:rsidRPr="006D679E">
      <w:rPr>
        <w:rFonts w:ascii="Arial" w:hAnsi="Arial" w:cs="Arial"/>
        <w:b/>
        <w:sz w:val="22"/>
      </w:rPr>
      <w:t>ГОСТ (</w:t>
    </w:r>
    <w:r w:rsidRPr="003A5CAC">
      <w:rPr>
        <w:rFonts w:ascii="Arial" w:hAnsi="Arial" w:cs="Arial"/>
        <w:b/>
        <w:i/>
        <w:sz w:val="22"/>
      </w:rPr>
      <w:t>проект,</w:t>
    </w:r>
    <w:r>
      <w:rPr>
        <w:rFonts w:ascii="Arial" w:hAnsi="Arial" w:cs="Arial"/>
        <w:b/>
        <w:sz w:val="22"/>
      </w:rPr>
      <w:t xml:space="preserve"> </w:t>
    </w:r>
    <w:r w:rsidRPr="006D679E">
      <w:rPr>
        <w:rFonts w:ascii="Arial" w:hAnsi="Arial" w:cs="Arial"/>
        <w:b/>
        <w:i/>
        <w:sz w:val="22"/>
        <w:lang w:val="en-US"/>
      </w:rPr>
      <w:t>RU</w:t>
    </w:r>
    <w:r w:rsidRPr="003A5CAC">
      <w:rPr>
        <w:rFonts w:ascii="Arial" w:hAnsi="Arial" w:cs="Arial"/>
        <w:b/>
        <w:i/>
        <w:sz w:val="22"/>
      </w:rPr>
      <w:t xml:space="preserve">, </w:t>
    </w:r>
    <w:r>
      <w:rPr>
        <w:rFonts w:ascii="Arial" w:hAnsi="Arial" w:cs="Arial"/>
        <w:b/>
        <w:i/>
        <w:sz w:val="22"/>
      </w:rPr>
      <w:t>окончательная</w:t>
    </w:r>
    <w:r w:rsidRPr="006D679E">
      <w:rPr>
        <w:rFonts w:ascii="Arial" w:hAnsi="Arial" w:cs="Arial"/>
        <w:b/>
        <w:i/>
        <w:sz w:val="22"/>
      </w:rPr>
      <w:t xml:space="preserve"> редакция</w:t>
    </w:r>
    <w:r w:rsidRPr="006D679E">
      <w:rPr>
        <w:rFonts w:ascii="Arial" w:hAnsi="Arial" w:cs="Arial"/>
        <w:b/>
        <w:sz w:val="22"/>
      </w:rPr>
      <w:t>)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2828" w:rsidRDefault="00D52828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footnotePr>
    <w:numFmt w:val="chicago"/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0B1"/>
    <w:rsid w:val="000656C5"/>
    <w:rsid w:val="003F30B1"/>
    <w:rsid w:val="00473FFE"/>
    <w:rsid w:val="00602B68"/>
    <w:rsid w:val="007E6C82"/>
    <w:rsid w:val="007F2142"/>
    <w:rsid w:val="00B76DA2"/>
    <w:rsid w:val="00BD5A8D"/>
    <w:rsid w:val="00CC481A"/>
    <w:rsid w:val="00D52828"/>
    <w:rsid w:val="00E41BFE"/>
    <w:rsid w:val="00ED7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F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73FF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73FFE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a3">
    <w:name w:val="Верхний колонтитул Знак"/>
    <w:basedOn w:val="a0"/>
    <w:link w:val="a4"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3"/>
    <w:unhideWhenUsed/>
    <w:rsid w:val="00473FFE"/>
    <w:pPr>
      <w:tabs>
        <w:tab w:val="center" w:pos="4153"/>
        <w:tab w:val="right" w:pos="8306"/>
      </w:tabs>
    </w:pPr>
  </w:style>
  <w:style w:type="character" w:customStyle="1" w:styleId="11">
    <w:name w:val="Верхний колонтитул Знак1"/>
    <w:basedOn w:val="a0"/>
    <w:uiPriority w:val="99"/>
    <w:semiHidden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6"/>
    <w:uiPriority w:val="99"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5"/>
    <w:uiPriority w:val="99"/>
    <w:unhideWhenUsed/>
    <w:rsid w:val="00473FFE"/>
    <w:pPr>
      <w:tabs>
        <w:tab w:val="center" w:pos="4153"/>
        <w:tab w:val="right" w:pos="8306"/>
      </w:tabs>
    </w:pPr>
  </w:style>
  <w:style w:type="character" w:customStyle="1" w:styleId="12">
    <w:name w:val="Нижний колонтитул Знак1"/>
    <w:basedOn w:val="a0"/>
    <w:uiPriority w:val="99"/>
    <w:semiHidden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8"/>
    <w:rsid w:val="00473FFE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8">
    <w:name w:val="Body Text"/>
    <w:basedOn w:val="a"/>
    <w:link w:val="a7"/>
    <w:unhideWhenUsed/>
    <w:rsid w:val="00473FFE"/>
    <w:pPr>
      <w:jc w:val="both"/>
    </w:pPr>
    <w:rPr>
      <w:color w:val="000000"/>
      <w:sz w:val="28"/>
      <w:szCs w:val="28"/>
    </w:rPr>
  </w:style>
  <w:style w:type="character" w:customStyle="1" w:styleId="13">
    <w:name w:val="Основной текст Знак1"/>
    <w:basedOn w:val="a0"/>
    <w:uiPriority w:val="99"/>
    <w:semiHidden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Текст Знак"/>
    <w:basedOn w:val="a0"/>
    <w:link w:val="aa"/>
    <w:rsid w:val="00473FF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Plain Text"/>
    <w:basedOn w:val="a"/>
    <w:link w:val="a9"/>
    <w:unhideWhenUsed/>
    <w:rsid w:val="00473FFE"/>
    <w:rPr>
      <w:rFonts w:ascii="Courier New" w:hAnsi="Courier New" w:cs="Courier New"/>
      <w:sz w:val="20"/>
      <w:szCs w:val="20"/>
    </w:rPr>
  </w:style>
  <w:style w:type="character" w:customStyle="1" w:styleId="14">
    <w:name w:val="Текст Знак1"/>
    <w:basedOn w:val="a0"/>
    <w:uiPriority w:val="99"/>
    <w:semiHidden/>
    <w:rsid w:val="00473FFE"/>
    <w:rPr>
      <w:rFonts w:ascii="Consolas" w:eastAsia="Times New Roman" w:hAnsi="Consolas" w:cs="Times New Roman"/>
      <w:sz w:val="21"/>
      <w:szCs w:val="21"/>
      <w:lang w:eastAsia="ru-RU"/>
    </w:rPr>
  </w:style>
  <w:style w:type="paragraph" w:styleId="ab">
    <w:name w:val="No Spacing"/>
    <w:qFormat/>
    <w:rsid w:val="00473FFE"/>
    <w:pPr>
      <w:spacing w:after="0" w:line="240" w:lineRule="auto"/>
    </w:pPr>
    <w:rPr>
      <w:rFonts w:ascii="Times New Roman" w:eastAsia="Calibri" w:hAnsi="Times New Roman" w:cs="Times New Roman"/>
      <w:sz w:val="24"/>
    </w:rPr>
  </w:style>
  <w:style w:type="character" w:customStyle="1" w:styleId="FontStyle13">
    <w:name w:val="Font Style13"/>
    <w:basedOn w:val="a0"/>
    <w:rsid w:val="00473FFE"/>
    <w:rPr>
      <w:rFonts w:ascii="Times New Roman" w:hAnsi="Times New Roman" w:cs="Times New Roman" w:hint="default"/>
      <w:sz w:val="16"/>
      <w:szCs w:val="16"/>
    </w:rPr>
  </w:style>
  <w:style w:type="paragraph" w:customStyle="1" w:styleId="Style6">
    <w:name w:val="Style6"/>
    <w:basedOn w:val="a"/>
    <w:rsid w:val="00473FFE"/>
    <w:pPr>
      <w:widowControl w:val="0"/>
      <w:autoSpaceDE w:val="0"/>
      <w:autoSpaceDN w:val="0"/>
      <w:adjustRightInd w:val="0"/>
      <w:spacing w:line="178" w:lineRule="exact"/>
    </w:pPr>
  </w:style>
  <w:style w:type="paragraph" w:customStyle="1" w:styleId="Style5">
    <w:name w:val="Style5"/>
    <w:basedOn w:val="a"/>
    <w:rsid w:val="00473FFE"/>
    <w:pPr>
      <w:widowControl w:val="0"/>
      <w:autoSpaceDE w:val="0"/>
      <w:autoSpaceDN w:val="0"/>
      <w:adjustRightInd w:val="0"/>
      <w:spacing w:line="180" w:lineRule="exact"/>
      <w:ind w:firstLine="178"/>
      <w:jc w:val="both"/>
    </w:pPr>
  </w:style>
  <w:style w:type="character" w:customStyle="1" w:styleId="FontStyle12">
    <w:name w:val="Font Style12"/>
    <w:basedOn w:val="a0"/>
    <w:rsid w:val="00473FFE"/>
    <w:rPr>
      <w:rFonts w:ascii="Times New Roman" w:hAnsi="Times New Roman" w:cs="Times New Roman" w:hint="default"/>
      <w:b/>
      <w:bCs/>
      <w:sz w:val="18"/>
      <w:szCs w:val="18"/>
    </w:rPr>
  </w:style>
  <w:style w:type="paragraph" w:styleId="ac">
    <w:name w:val="Balloon Text"/>
    <w:basedOn w:val="a"/>
    <w:link w:val="ad"/>
    <w:uiPriority w:val="99"/>
    <w:semiHidden/>
    <w:unhideWhenUsed/>
    <w:rsid w:val="00473FFE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73FFE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F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73FF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73FFE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a3">
    <w:name w:val="Верхний колонтитул Знак"/>
    <w:basedOn w:val="a0"/>
    <w:link w:val="a4"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3"/>
    <w:unhideWhenUsed/>
    <w:rsid w:val="00473FFE"/>
    <w:pPr>
      <w:tabs>
        <w:tab w:val="center" w:pos="4153"/>
        <w:tab w:val="right" w:pos="8306"/>
      </w:tabs>
    </w:pPr>
  </w:style>
  <w:style w:type="character" w:customStyle="1" w:styleId="11">
    <w:name w:val="Верхний колонтитул Знак1"/>
    <w:basedOn w:val="a0"/>
    <w:uiPriority w:val="99"/>
    <w:semiHidden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6"/>
    <w:uiPriority w:val="99"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5"/>
    <w:uiPriority w:val="99"/>
    <w:unhideWhenUsed/>
    <w:rsid w:val="00473FFE"/>
    <w:pPr>
      <w:tabs>
        <w:tab w:val="center" w:pos="4153"/>
        <w:tab w:val="right" w:pos="8306"/>
      </w:tabs>
    </w:pPr>
  </w:style>
  <w:style w:type="character" w:customStyle="1" w:styleId="12">
    <w:name w:val="Нижний колонтитул Знак1"/>
    <w:basedOn w:val="a0"/>
    <w:uiPriority w:val="99"/>
    <w:semiHidden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8"/>
    <w:rsid w:val="00473FFE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8">
    <w:name w:val="Body Text"/>
    <w:basedOn w:val="a"/>
    <w:link w:val="a7"/>
    <w:unhideWhenUsed/>
    <w:rsid w:val="00473FFE"/>
    <w:pPr>
      <w:jc w:val="both"/>
    </w:pPr>
    <w:rPr>
      <w:color w:val="000000"/>
      <w:sz w:val="28"/>
      <w:szCs w:val="28"/>
    </w:rPr>
  </w:style>
  <w:style w:type="character" w:customStyle="1" w:styleId="13">
    <w:name w:val="Основной текст Знак1"/>
    <w:basedOn w:val="a0"/>
    <w:uiPriority w:val="99"/>
    <w:semiHidden/>
    <w:rsid w:val="00473FF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Текст Знак"/>
    <w:basedOn w:val="a0"/>
    <w:link w:val="aa"/>
    <w:rsid w:val="00473FF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Plain Text"/>
    <w:basedOn w:val="a"/>
    <w:link w:val="a9"/>
    <w:unhideWhenUsed/>
    <w:rsid w:val="00473FFE"/>
    <w:rPr>
      <w:rFonts w:ascii="Courier New" w:hAnsi="Courier New" w:cs="Courier New"/>
      <w:sz w:val="20"/>
      <w:szCs w:val="20"/>
    </w:rPr>
  </w:style>
  <w:style w:type="character" w:customStyle="1" w:styleId="14">
    <w:name w:val="Текст Знак1"/>
    <w:basedOn w:val="a0"/>
    <w:uiPriority w:val="99"/>
    <w:semiHidden/>
    <w:rsid w:val="00473FFE"/>
    <w:rPr>
      <w:rFonts w:ascii="Consolas" w:eastAsia="Times New Roman" w:hAnsi="Consolas" w:cs="Times New Roman"/>
      <w:sz w:val="21"/>
      <w:szCs w:val="21"/>
      <w:lang w:eastAsia="ru-RU"/>
    </w:rPr>
  </w:style>
  <w:style w:type="paragraph" w:styleId="ab">
    <w:name w:val="No Spacing"/>
    <w:qFormat/>
    <w:rsid w:val="00473FFE"/>
    <w:pPr>
      <w:spacing w:after="0" w:line="240" w:lineRule="auto"/>
    </w:pPr>
    <w:rPr>
      <w:rFonts w:ascii="Times New Roman" w:eastAsia="Calibri" w:hAnsi="Times New Roman" w:cs="Times New Roman"/>
      <w:sz w:val="24"/>
    </w:rPr>
  </w:style>
  <w:style w:type="character" w:customStyle="1" w:styleId="FontStyle13">
    <w:name w:val="Font Style13"/>
    <w:basedOn w:val="a0"/>
    <w:rsid w:val="00473FFE"/>
    <w:rPr>
      <w:rFonts w:ascii="Times New Roman" w:hAnsi="Times New Roman" w:cs="Times New Roman" w:hint="default"/>
      <w:sz w:val="16"/>
      <w:szCs w:val="16"/>
    </w:rPr>
  </w:style>
  <w:style w:type="paragraph" w:customStyle="1" w:styleId="Style6">
    <w:name w:val="Style6"/>
    <w:basedOn w:val="a"/>
    <w:rsid w:val="00473FFE"/>
    <w:pPr>
      <w:widowControl w:val="0"/>
      <w:autoSpaceDE w:val="0"/>
      <w:autoSpaceDN w:val="0"/>
      <w:adjustRightInd w:val="0"/>
      <w:spacing w:line="178" w:lineRule="exact"/>
    </w:pPr>
  </w:style>
  <w:style w:type="paragraph" w:customStyle="1" w:styleId="Style5">
    <w:name w:val="Style5"/>
    <w:basedOn w:val="a"/>
    <w:rsid w:val="00473FFE"/>
    <w:pPr>
      <w:widowControl w:val="0"/>
      <w:autoSpaceDE w:val="0"/>
      <w:autoSpaceDN w:val="0"/>
      <w:adjustRightInd w:val="0"/>
      <w:spacing w:line="180" w:lineRule="exact"/>
      <w:ind w:firstLine="178"/>
      <w:jc w:val="both"/>
    </w:pPr>
  </w:style>
  <w:style w:type="character" w:customStyle="1" w:styleId="FontStyle12">
    <w:name w:val="Font Style12"/>
    <w:basedOn w:val="a0"/>
    <w:rsid w:val="00473FFE"/>
    <w:rPr>
      <w:rFonts w:ascii="Times New Roman" w:hAnsi="Times New Roman" w:cs="Times New Roman" w:hint="default"/>
      <w:b/>
      <w:bCs/>
      <w:sz w:val="18"/>
      <w:szCs w:val="18"/>
    </w:rPr>
  </w:style>
  <w:style w:type="paragraph" w:styleId="ac">
    <w:name w:val="Balloon Text"/>
    <w:basedOn w:val="a"/>
    <w:link w:val="ad"/>
    <w:uiPriority w:val="99"/>
    <w:semiHidden/>
    <w:unhideWhenUsed/>
    <w:rsid w:val="00473FFE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73FF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6.jpeg"/><Relationship Id="rId26" Type="http://schemas.openxmlformats.org/officeDocument/2006/relationships/image" Target="media/image12.png"/><Relationship Id="rId39" Type="http://schemas.openxmlformats.org/officeDocument/2006/relationships/image" Target="media/image19.png"/><Relationship Id="rId21" Type="http://schemas.openxmlformats.org/officeDocument/2006/relationships/image" Target="media/image9.jpeg"/><Relationship Id="rId34" Type="http://schemas.openxmlformats.org/officeDocument/2006/relationships/oleObject" Target="embeddings/oleObject6.bin"/><Relationship Id="rId42" Type="http://schemas.openxmlformats.org/officeDocument/2006/relationships/oleObject" Target="embeddings/oleObject10.bin"/><Relationship Id="rId47" Type="http://schemas.openxmlformats.org/officeDocument/2006/relationships/image" Target="media/image24.jpeg"/><Relationship Id="rId50" Type="http://schemas.openxmlformats.org/officeDocument/2006/relationships/footer" Target="footer4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4.jpeg"/><Relationship Id="rId29" Type="http://schemas.openxmlformats.org/officeDocument/2006/relationships/oleObject" Target="embeddings/oleObject4.bin"/><Relationship Id="rId11" Type="http://schemas.openxmlformats.org/officeDocument/2006/relationships/header" Target="header4.xml"/><Relationship Id="rId24" Type="http://schemas.openxmlformats.org/officeDocument/2006/relationships/image" Target="media/image11.png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openxmlformats.org/officeDocument/2006/relationships/oleObject" Target="embeddings/oleObject9.bin"/><Relationship Id="rId45" Type="http://schemas.openxmlformats.org/officeDocument/2006/relationships/oleObject" Target="embeddings/oleObject11.bin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oleObject" Target="embeddings/oleObject1.bin"/><Relationship Id="rId28" Type="http://schemas.openxmlformats.org/officeDocument/2006/relationships/image" Target="media/image13.png"/><Relationship Id="rId36" Type="http://schemas.openxmlformats.org/officeDocument/2006/relationships/oleObject" Target="embeddings/oleObject7.bin"/><Relationship Id="rId49" Type="http://schemas.openxmlformats.org/officeDocument/2006/relationships/header" Target="header5.xml"/><Relationship Id="rId10" Type="http://schemas.openxmlformats.org/officeDocument/2006/relationships/header" Target="header3.xml"/><Relationship Id="rId19" Type="http://schemas.openxmlformats.org/officeDocument/2006/relationships/image" Target="media/image7.jpeg"/><Relationship Id="rId31" Type="http://schemas.openxmlformats.org/officeDocument/2006/relationships/oleObject" Target="embeddings/oleObject5.bin"/><Relationship Id="rId44" Type="http://schemas.openxmlformats.org/officeDocument/2006/relationships/image" Target="media/image22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oleObject" Target="embeddings/oleObject3.bin"/><Relationship Id="rId30" Type="http://schemas.openxmlformats.org/officeDocument/2006/relationships/image" Target="media/image14.png"/><Relationship Id="rId35" Type="http://schemas.openxmlformats.org/officeDocument/2006/relationships/image" Target="media/image17.jpeg"/><Relationship Id="rId43" Type="http://schemas.openxmlformats.org/officeDocument/2006/relationships/image" Target="media/image21.jpeg"/><Relationship Id="rId48" Type="http://schemas.openxmlformats.org/officeDocument/2006/relationships/footer" Target="footer3.xml"/><Relationship Id="rId8" Type="http://schemas.openxmlformats.org/officeDocument/2006/relationships/header" Target="header1.xml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25" Type="http://schemas.openxmlformats.org/officeDocument/2006/relationships/oleObject" Target="embeddings/oleObject2.bin"/><Relationship Id="rId33" Type="http://schemas.openxmlformats.org/officeDocument/2006/relationships/image" Target="media/image16.png"/><Relationship Id="rId38" Type="http://schemas.openxmlformats.org/officeDocument/2006/relationships/oleObject" Target="embeddings/oleObject8.bin"/><Relationship Id="rId46" Type="http://schemas.openxmlformats.org/officeDocument/2006/relationships/image" Target="media/image23.jpeg"/><Relationship Id="rId20" Type="http://schemas.openxmlformats.org/officeDocument/2006/relationships/image" Target="media/image8.jpeg"/><Relationship Id="rId41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6265</Words>
  <Characters>35714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41896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Анютик</cp:lastModifiedBy>
  <cp:revision>2</cp:revision>
  <cp:lastPrinted>2017-02-14T12:57:00Z</cp:lastPrinted>
  <dcterms:created xsi:type="dcterms:W3CDTF">2017-03-04T00:20:00Z</dcterms:created>
  <dcterms:modified xsi:type="dcterms:W3CDTF">2017-03-04T00:20:00Z</dcterms:modified>
</cp:coreProperties>
</file>